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footer1.xml" ContentType="application/vnd.openxmlformats-officedocument.wordprocessingml.footer+xml"/>
  <Default Extension="jpeg" ContentType="image/jpeg"/>
  <Override PartName="/word/header2.xml" ContentType="application/vnd.openxmlformats-officedocument.wordprocessingml.header+xml"/>
  <Override PartName="/word/footer2.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Title"/>
      </w:pPr>
      <w:r>
        <w:rPr>
          <w:w w:val="80"/>
        </w:rPr>
        <w:t>Diversity,</w:t>
      </w:r>
      <w:r>
        <w:rPr>
          <w:spacing w:val="-3"/>
        </w:rPr>
        <w:t> </w:t>
      </w:r>
      <w:r>
        <w:rPr>
          <w:w w:val="80"/>
        </w:rPr>
        <w:t>Equity</w:t>
      </w:r>
      <w:r>
        <w:rPr>
          <w:spacing w:val="-3"/>
        </w:rPr>
        <w:t> </w:t>
      </w:r>
      <w:r>
        <w:rPr>
          <w:w w:val="80"/>
        </w:rPr>
        <w:t>and</w:t>
      </w:r>
      <w:r>
        <w:rPr>
          <w:spacing w:val="-3"/>
        </w:rPr>
        <w:t> </w:t>
      </w:r>
      <w:r>
        <w:rPr>
          <w:w w:val="80"/>
        </w:rPr>
        <w:t>Inclusion</w:t>
      </w:r>
      <w:r>
        <w:rPr>
          <w:spacing w:val="-3"/>
        </w:rPr>
        <w:t> </w:t>
      </w:r>
      <w:r>
        <w:rPr>
          <w:w w:val="80"/>
        </w:rPr>
        <w:t>(DE&amp;I)</w:t>
      </w:r>
      <w:r>
        <w:rPr>
          <w:spacing w:val="-3"/>
        </w:rPr>
        <w:t> </w:t>
      </w:r>
      <w:r>
        <w:rPr>
          <w:spacing w:val="-2"/>
          <w:w w:val="80"/>
        </w:rPr>
        <w:t>Report</w:t>
      </w:r>
    </w:p>
    <w:p>
      <w:pPr>
        <w:spacing w:line="436" w:lineRule="exact" w:before="205"/>
        <w:ind w:left="1167" w:right="1273" w:firstLine="0"/>
        <w:jc w:val="center"/>
        <w:rPr>
          <w:rFonts w:ascii="Calibri"/>
          <w:b/>
          <w:sz w:val="36"/>
        </w:rPr>
      </w:pPr>
      <w:r>
        <w:rPr>
          <w:rFonts w:ascii="Calibri"/>
          <w:b/>
          <w:w w:val="80"/>
          <w:sz w:val="36"/>
        </w:rPr>
        <w:t>Academic</w:t>
      </w:r>
      <w:r>
        <w:rPr>
          <w:rFonts w:ascii="Calibri"/>
          <w:b/>
          <w:spacing w:val="-8"/>
          <w:sz w:val="36"/>
        </w:rPr>
        <w:t> </w:t>
      </w:r>
      <w:r>
        <w:rPr>
          <w:rFonts w:ascii="Calibri"/>
          <w:b/>
          <w:w w:val="80"/>
          <w:sz w:val="36"/>
        </w:rPr>
        <w:t>Year</w:t>
      </w:r>
      <w:r>
        <w:rPr>
          <w:rFonts w:ascii="Calibri"/>
          <w:b/>
          <w:spacing w:val="-8"/>
          <w:sz w:val="36"/>
        </w:rPr>
        <w:t> </w:t>
      </w:r>
      <w:r>
        <w:rPr>
          <w:rFonts w:ascii="Calibri"/>
          <w:b/>
          <w:w w:val="80"/>
          <w:sz w:val="36"/>
        </w:rPr>
        <w:t>2022-</w:t>
      </w:r>
      <w:r>
        <w:rPr>
          <w:rFonts w:ascii="Calibri"/>
          <w:b/>
          <w:spacing w:val="-5"/>
          <w:w w:val="80"/>
          <w:sz w:val="36"/>
        </w:rPr>
        <w:t>23</w:t>
      </w:r>
    </w:p>
    <w:p>
      <w:pPr>
        <w:spacing w:line="436" w:lineRule="exact" w:before="0"/>
        <w:ind w:left="1167" w:right="1273" w:firstLine="0"/>
        <w:jc w:val="center"/>
        <w:rPr>
          <w:rFonts w:ascii="Calibri"/>
          <w:b/>
          <w:sz w:val="36"/>
        </w:rPr>
      </w:pPr>
      <w:r>
        <w:rPr>
          <w:rFonts w:ascii="Calibri"/>
          <w:b/>
          <w:w w:val="75"/>
          <w:sz w:val="36"/>
        </w:rPr>
        <w:t>June</w:t>
      </w:r>
      <w:r>
        <w:rPr>
          <w:rFonts w:ascii="Calibri"/>
          <w:b/>
          <w:spacing w:val="-4"/>
          <w:sz w:val="36"/>
        </w:rPr>
        <w:t> </w:t>
      </w:r>
      <w:r>
        <w:rPr>
          <w:rFonts w:ascii="Calibri"/>
          <w:b/>
          <w:w w:val="75"/>
          <w:sz w:val="36"/>
        </w:rPr>
        <w:t>14,</w:t>
      </w:r>
      <w:r>
        <w:rPr>
          <w:rFonts w:ascii="Calibri"/>
          <w:b/>
          <w:spacing w:val="-4"/>
          <w:sz w:val="36"/>
        </w:rPr>
        <w:t> </w:t>
      </w:r>
      <w:r>
        <w:rPr>
          <w:rFonts w:ascii="Calibri"/>
          <w:b/>
          <w:spacing w:val="-4"/>
          <w:w w:val="75"/>
          <w:sz w:val="36"/>
        </w:rPr>
        <w:t>2023</w:t>
      </w:r>
    </w:p>
    <w:p>
      <w:pPr>
        <w:spacing w:after="0" w:line="436" w:lineRule="exact"/>
        <w:jc w:val="center"/>
        <w:rPr>
          <w:rFonts w:ascii="Calibri"/>
          <w:sz w:val="36"/>
        </w:rPr>
        <w:sectPr>
          <w:headerReference w:type="default" r:id="rId5"/>
          <w:footerReference w:type="default" r:id="rId6"/>
          <w:type w:val="continuous"/>
          <w:pgSz w:w="12240" w:h="15840"/>
          <w:pgMar w:header="1464" w:footer="1245" w:top="2100" w:bottom="1440" w:left="1340" w:right="1220"/>
          <w:pgNumType w:start="1"/>
        </w:sectPr>
      </w:pPr>
    </w:p>
    <w:p>
      <w:pPr>
        <w:pStyle w:val="BodyText"/>
        <w:rPr>
          <w:rFonts w:ascii="Calibri"/>
          <w:b/>
          <w:sz w:val="20"/>
        </w:rPr>
      </w:pPr>
    </w:p>
    <w:p>
      <w:pPr>
        <w:pStyle w:val="BodyText"/>
        <w:spacing w:before="11"/>
        <w:rPr>
          <w:rFonts w:ascii="Calibri"/>
          <w:b/>
          <w:sz w:val="20"/>
        </w:rPr>
      </w:pPr>
    </w:p>
    <w:p>
      <w:pPr>
        <w:spacing w:before="110"/>
        <w:ind w:left="105" w:right="0" w:firstLine="0"/>
        <w:jc w:val="left"/>
        <w:rPr>
          <w:rFonts w:ascii="Calibri"/>
          <w:b/>
          <w:sz w:val="36"/>
        </w:rPr>
      </w:pPr>
      <w:r>
        <w:rPr>
          <w:rFonts w:ascii="Calibri"/>
          <w:b/>
          <w:w w:val="80"/>
          <w:sz w:val="36"/>
        </w:rPr>
        <w:t>College</w:t>
      </w:r>
      <w:r>
        <w:rPr>
          <w:rFonts w:ascii="Calibri"/>
          <w:b/>
          <w:spacing w:val="-13"/>
          <w:sz w:val="36"/>
        </w:rPr>
        <w:t> </w:t>
      </w:r>
      <w:r>
        <w:rPr>
          <w:rFonts w:ascii="Calibri"/>
          <w:b/>
          <w:w w:val="80"/>
          <w:sz w:val="36"/>
        </w:rPr>
        <w:t>Mission</w:t>
      </w:r>
      <w:r>
        <w:rPr>
          <w:rFonts w:ascii="Calibri"/>
          <w:b/>
          <w:spacing w:val="-13"/>
          <w:sz w:val="36"/>
        </w:rPr>
        <w:t> </w:t>
      </w:r>
      <w:r>
        <w:rPr>
          <w:rFonts w:ascii="Calibri"/>
          <w:b/>
          <w:spacing w:val="-2"/>
          <w:w w:val="80"/>
          <w:sz w:val="36"/>
        </w:rPr>
        <w:t>Statement</w:t>
      </w:r>
    </w:p>
    <w:p>
      <w:pPr>
        <w:pStyle w:val="BodyText"/>
        <w:spacing w:before="181"/>
        <w:ind w:left="105"/>
      </w:pPr>
      <w:r>
        <w:rPr/>
        <w:t>To</w:t>
      </w:r>
      <w:r>
        <w:rPr>
          <w:spacing w:val="-8"/>
        </w:rPr>
        <w:t> </w:t>
      </w:r>
      <w:r>
        <w:rPr/>
        <w:t>be</w:t>
      </w:r>
      <w:r>
        <w:rPr>
          <w:spacing w:val="-5"/>
        </w:rPr>
        <w:t> </w:t>
      </w:r>
      <w:r>
        <w:rPr/>
        <w:t>an</w:t>
      </w:r>
      <w:r>
        <w:rPr>
          <w:spacing w:val="-5"/>
        </w:rPr>
        <w:t> </w:t>
      </w:r>
      <w:r>
        <w:rPr/>
        <w:t>essential</w:t>
      </w:r>
      <w:r>
        <w:rPr>
          <w:spacing w:val="-5"/>
        </w:rPr>
        <w:t> </w:t>
      </w:r>
      <w:r>
        <w:rPr/>
        <w:t>educational</w:t>
      </w:r>
      <w:r>
        <w:rPr>
          <w:spacing w:val="-5"/>
        </w:rPr>
        <w:t> </w:t>
      </w:r>
      <w:r>
        <w:rPr/>
        <w:t>and</w:t>
      </w:r>
      <w:r>
        <w:rPr>
          <w:spacing w:val="-5"/>
        </w:rPr>
        <w:t> </w:t>
      </w:r>
      <w:r>
        <w:rPr/>
        <w:t>economic</w:t>
      </w:r>
      <w:r>
        <w:rPr>
          <w:spacing w:val="-5"/>
        </w:rPr>
        <w:t> </w:t>
      </w:r>
      <w:r>
        <w:rPr/>
        <w:t>driver</w:t>
      </w:r>
      <w:r>
        <w:rPr>
          <w:spacing w:val="-5"/>
        </w:rPr>
        <w:t> </w:t>
      </w:r>
      <w:r>
        <w:rPr/>
        <w:t>for</w:t>
      </w:r>
      <w:r>
        <w:rPr>
          <w:spacing w:val="-5"/>
        </w:rPr>
        <w:t> </w:t>
      </w:r>
      <w:r>
        <w:rPr/>
        <w:t>Kansas</w:t>
      </w:r>
      <w:r>
        <w:rPr>
          <w:spacing w:val="-5"/>
        </w:rPr>
        <w:t> </w:t>
      </w:r>
      <w:r>
        <w:rPr/>
        <w:t>and</w:t>
      </w:r>
      <w:r>
        <w:rPr>
          <w:spacing w:val="-5"/>
        </w:rPr>
        <w:t> </w:t>
      </w:r>
      <w:r>
        <w:rPr/>
        <w:t>the</w:t>
      </w:r>
      <w:r>
        <w:rPr>
          <w:spacing w:val="-5"/>
        </w:rPr>
        <w:t> </w:t>
      </w:r>
      <w:r>
        <w:rPr/>
        <w:t>greater</w:t>
      </w:r>
      <w:r>
        <w:rPr>
          <w:spacing w:val="-5"/>
        </w:rPr>
        <w:t> </w:t>
      </w:r>
      <w:r>
        <w:rPr/>
        <w:t>public</w:t>
      </w:r>
      <w:r>
        <w:rPr>
          <w:spacing w:val="-5"/>
        </w:rPr>
        <w:t> </w:t>
      </w:r>
      <w:r>
        <w:rPr>
          <w:spacing w:val="-4"/>
        </w:rPr>
        <w:t>good</w:t>
      </w:r>
    </w:p>
    <w:p>
      <w:pPr>
        <w:pStyle w:val="BodyText"/>
        <w:rPr>
          <w:sz w:val="26"/>
        </w:rPr>
      </w:pPr>
    </w:p>
    <w:p>
      <w:pPr>
        <w:pStyle w:val="BodyText"/>
        <w:spacing w:before="3"/>
        <w:rPr>
          <w:sz w:val="20"/>
        </w:rPr>
      </w:pPr>
    </w:p>
    <w:p>
      <w:pPr>
        <w:spacing w:before="1"/>
        <w:ind w:left="105" w:right="0" w:firstLine="0"/>
        <w:jc w:val="left"/>
        <w:rPr>
          <w:rFonts w:ascii="Calibri"/>
          <w:b/>
          <w:sz w:val="36"/>
        </w:rPr>
      </w:pPr>
      <w:r>
        <w:rPr>
          <w:rFonts w:ascii="Calibri"/>
          <w:b/>
          <w:w w:val="80"/>
          <w:sz w:val="36"/>
        </w:rPr>
        <w:t>Faculty</w:t>
      </w:r>
      <w:r>
        <w:rPr>
          <w:rFonts w:ascii="Calibri"/>
          <w:b/>
          <w:spacing w:val="-4"/>
          <w:sz w:val="36"/>
        </w:rPr>
        <w:t> </w:t>
      </w:r>
      <w:r>
        <w:rPr>
          <w:rFonts w:ascii="Calibri"/>
          <w:b/>
          <w:w w:val="80"/>
          <w:sz w:val="36"/>
        </w:rPr>
        <w:t>Hiring</w:t>
      </w:r>
      <w:r>
        <w:rPr>
          <w:rFonts w:ascii="Calibri"/>
          <w:b/>
          <w:spacing w:val="-3"/>
          <w:sz w:val="36"/>
        </w:rPr>
        <w:t> </w:t>
      </w:r>
      <w:r>
        <w:rPr>
          <w:rFonts w:ascii="Calibri"/>
          <w:b/>
          <w:spacing w:val="-2"/>
          <w:w w:val="80"/>
          <w:sz w:val="36"/>
        </w:rPr>
        <w:t>Initiative</w:t>
      </w:r>
    </w:p>
    <w:p>
      <w:pPr>
        <w:pStyle w:val="BodyText"/>
        <w:spacing w:before="4"/>
        <w:rPr>
          <w:rFonts w:ascii="Calibri"/>
          <w:b/>
          <w:sz w:val="47"/>
        </w:rPr>
      </w:pPr>
    </w:p>
    <w:p>
      <w:pPr>
        <w:pStyle w:val="Heading1"/>
      </w:pPr>
      <w:r>
        <w:rPr>
          <w:spacing w:val="-4"/>
          <w:w w:val="90"/>
        </w:rPr>
        <w:t>Goal</w:t>
      </w:r>
    </w:p>
    <w:p>
      <w:pPr>
        <w:pStyle w:val="BodyText"/>
        <w:spacing w:line="256" w:lineRule="auto" w:before="181"/>
        <w:ind w:left="825"/>
      </w:pPr>
      <w:r>
        <w:rPr/>
        <w:t>Recruit,</w:t>
      </w:r>
      <w:r>
        <w:rPr>
          <w:spacing w:val="-4"/>
        </w:rPr>
        <w:t> </w:t>
      </w:r>
      <w:r>
        <w:rPr/>
        <w:t>develop</w:t>
      </w:r>
      <w:r>
        <w:rPr>
          <w:spacing w:val="-4"/>
        </w:rPr>
        <w:t> </w:t>
      </w:r>
      <w:r>
        <w:rPr/>
        <w:t>and</w:t>
      </w:r>
      <w:r>
        <w:rPr>
          <w:spacing w:val="-4"/>
        </w:rPr>
        <w:t> </w:t>
      </w:r>
      <w:r>
        <w:rPr/>
        <w:t>retain</w:t>
      </w:r>
      <w:r>
        <w:rPr>
          <w:spacing w:val="-4"/>
        </w:rPr>
        <w:t> </w:t>
      </w:r>
      <w:r>
        <w:rPr/>
        <w:t>faculty</w:t>
      </w:r>
      <w:r>
        <w:rPr>
          <w:spacing w:val="-4"/>
        </w:rPr>
        <w:t> </w:t>
      </w:r>
      <w:r>
        <w:rPr/>
        <w:t>and</w:t>
      </w:r>
      <w:r>
        <w:rPr>
          <w:spacing w:val="-4"/>
        </w:rPr>
        <w:t> </w:t>
      </w:r>
      <w:r>
        <w:rPr/>
        <w:t>staff</w:t>
      </w:r>
      <w:r>
        <w:rPr>
          <w:spacing w:val="-4"/>
        </w:rPr>
        <w:t> </w:t>
      </w:r>
      <w:r>
        <w:rPr/>
        <w:t>who</w:t>
      </w:r>
      <w:r>
        <w:rPr>
          <w:spacing w:val="-4"/>
        </w:rPr>
        <w:t> </w:t>
      </w:r>
      <w:r>
        <w:rPr/>
        <w:t>are</w:t>
      </w:r>
      <w:r>
        <w:rPr>
          <w:spacing w:val="-4"/>
        </w:rPr>
        <w:t> </w:t>
      </w:r>
      <w:r>
        <w:rPr/>
        <w:t>committed</w:t>
      </w:r>
      <w:r>
        <w:rPr>
          <w:spacing w:val="-4"/>
        </w:rPr>
        <w:t> </w:t>
      </w:r>
      <w:r>
        <w:rPr/>
        <w:t>to</w:t>
      </w:r>
      <w:r>
        <w:rPr>
          <w:spacing w:val="-4"/>
        </w:rPr>
        <w:t> </w:t>
      </w:r>
      <w:r>
        <w:rPr/>
        <w:t>recruiting,</w:t>
      </w:r>
      <w:r>
        <w:rPr>
          <w:spacing w:val="-4"/>
        </w:rPr>
        <w:t> </w:t>
      </w:r>
      <w:r>
        <w:rPr/>
        <w:t>developing</w:t>
      </w:r>
      <w:r>
        <w:rPr>
          <w:spacing w:val="-4"/>
        </w:rPr>
        <w:t> </w:t>
      </w:r>
      <w:r>
        <w:rPr/>
        <w:t>and retaining a diverse and inclusive student.</w:t>
      </w:r>
    </w:p>
    <w:p>
      <w:pPr>
        <w:pStyle w:val="BodyText"/>
        <w:rPr>
          <w:sz w:val="26"/>
        </w:rPr>
      </w:pPr>
    </w:p>
    <w:p>
      <w:pPr>
        <w:pStyle w:val="BodyText"/>
        <w:spacing w:before="5"/>
      </w:pPr>
    </w:p>
    <w:p>
      <w:pPr>
        <w:pStyle w:val="Heading1"/>
        <w:spacing w:before="1"/>
      </w:pPr>
      <w:r>
        <w:rPr>
          <w:spacing w:val="-2"/>
          <w:w w:val="90"/>
        </w:rPr>
        <w:t>Rationale</w:t>
      </w:r>
    </w:p>
    <w:p>
      <w:pPr>
        <w:pStyle w:val="BodyText"/>
        <w:spacing w:line="259" w:lineRule="auto" w:before="181"/>
        <w:ind w:left="825" w:right="211"/>
      </w:pPr>
      <w:r>
        <w:rPr/>
        <w:t>Research</w:t>
      </w:r>
      <w:r>
        <w:rPr>
          <w:spacing w:val="-4"/>
        </w:rPr>
        <w:t> </w:t>
      </w:r>
      <w:r>
        <w:rPr/>
        <w:t>shows</w:t>
      </w:r>
      <w:r>
        <w:rPr>
          <w:spacing w:val="-4"/>
        </w:rPr>
        <w:t> </w:t>
      </w:r>
      <w:r>
        <w:rPr/>
        <w:t>that</w:t>
      </w:r>
      <w:r>
        <w:rPr>
          <w:spacing w:val="-4"/>
        </w:rPr>
        <w:t> </w:t>
      </w:r>
      <w:r>
        <w:rPr/>
        <w:t>student</w:t>
      </w:r>
      <w:r>
        <w:rPr>
          <w:spacing w:val="-4"/>
        </w:rPr>
        <w:t> </w:t>
      </w:r>
      <w:r>
        <w:rPr/>
        <w:t>recruitment</w:t>
      </w:r>
      <w:r>
        <w:rPr>
          <w:spacing w:val="-4"/>
        </w:rPr>
        <w:t> </w:t>
      </w:r>
      <w:r>
        <w:rPr/>
        <w:t>and</w:t>
      </w:r>
      <w:r>
        <w:rPr>
          <w:spacing w:val="-4"/>
        </w:rPr>
        <w:t> </w:t>
      </w:r>
      <w:r>
        <w:rPr/>
        <w:t>retention</w:t>
      </w:r>
      <w:r>
        <w:rPr>
          <w:spacing w:val="-4"/>
        </w:rPr>
        <w:t> </w:t>
      </w:r>
      <w:r>
        <w:rPr/>
        <w:t>are</w:t>
      </w:r>
      <w:r>
        <w:rPr>
          <w:spacing w:val="-4"/>
        </w:rPr>
        <w:t> </w:t>
      </w:r>
      <w:r>
        <w:rPr/>
        <w:t>influenced</w:t>
      </w:r>
      <w:r>
        <w:rPr>
          <w:spacing w:val="-4"/>
        </w:rPr>
        <w:t> </w:t>
      </w:r>
      <w:r>
        <w:rPr/>
        <w:t>by</w:t>
      </w:r>
      <w:r>
        <w:rPr>
          <w:spacing w:val="-4"/>
        </w:rPr>
        <w:t> </w:t>
      </w:r>
      <w:r>
        <w:rPr/>
        <w:t>the</w:t>
      </w:r>
      <w:r>
        <w:rPr>
          <w:spacing w:val="-4"/>
        </w:rPr>
        <w:t> </w:t>
      </w:r>
      <w:r>
        <w:rPr/>
        <w:t>representation</w:t>
      </w:r>
      <w:r>
        <w:rPr>
          <w:spacing w:val="-4"/>
        </w:rPr>
        <w:t> </w:t>
      </w:r>
      <w:r>
        <w:rPr/>
        <w:t>of faculty and staff. For example, WSU is an emerging Hispanic Serving Institution (HIS), and engineering students are 13% Hispanic, yet we have no Hispanic faculty born in the U.S. in the college. Moreover, the way that faculty and staff conduct their classrooms, meetings and interactions with students affects the learning climate.</w:t>
      </w:r>
    </w:p>
    <w:p>
      <w:pPr>
        <w:pStyle w:val="BodyText"/>
        <w:rPr>
          <w:sz w:val="26"/>
        </w:rPr>
      </w:pPr>
    </w:p>
    <w:p>
      <w:pPr>
        <w:pStyle w:val="BodyText"/>
        <w:spacing w:before="11"/>
        <w:rPr>
          <w:sz w:val="21"/>
        </w:rPr>
      </w:pPr>
    </w:p>
    <w:p>
      <w:pPr>
        <w:pStyle w:val="Heading1"/>
      </w:pPr>
      <w:r>
        <w:rPr>
          <w:spacing w:val="-2"/>
          <w:w w:val="90"/>
        </w:rPr>
        <w:t>Initiative</w:t>
      </w:r>
    </w:p>
    <w:p>
      <w:pPr>
        <w:pStyle w:val="BodyText"/>
        <w:spacing w:before="182"/>
        <w:ind w:left="825"/>
      </w:pPr>
      <w:r>
        <w:rPr/>
        <w:t>Tenure-track</w:t>
      </w:r>
      <w:r>
        <w:rPr>
          <w:spacing w:val="-8"/>
        </w:rPr>
        <w:t> </w:t>
      </w:r>
      <w:r>
        <w:rPr/>
        <w:t>faculty</w:t>
      </w:r>
      <w:r>
        <w:rPr>
          <w:spacing w:val="-7"/>
        </w:rPr>
        <w:t> </w:t>
      </w:r>
      <w:r>
        <w:rPr/>
        <w:t>recruitment</w:t>
      </w:r>
      <w:r>
        <w:rPr>
          <w:spacing w:val="-8"/>
        </w:rPr>
        <w:t> </w:t>
      </w:r>
      <w:r>
        <w:rPr/>
        <w:t>for</w:t>
      </w:r>
      <w:r>
        <w:rPr>
          <w:spacing w:val="-7"/>
        </w:rPr>
        <w:t> </w:t>
      </w:r>
      <w:r>
        <w:rPr/>
        <w:t>Fall</w:t>
      </w:r>
      <w:r>
        <w:rPr>
          <w:spacing w:val="-7"/>
        </w:rPr>
        <w:t> </w:t>
      </w:r>
      <w:r>
        <w:rPr>
          <w:spacing w:val="-4"/>
        </w:rPr>
        <w:t>2023</w:t>
      </w:r>
    </w:p>
    <w:p>
      <w:pPr>
        <w:pStyle w:val="BodyText"/>
        <w:rPr>
          <w:sz w:val="26"/>
        </w:rPr>
      </w:pPr>
    </w:p>
    <w:p>
      <w:pPr>
        <w:pStyle w:val="BodyText"/>
        <w:spacing w:before="3"/>
        <w:rPr>
          <w:sz w:val="30"/>
        </w:rPr>
      </w:pPr>
    </w:p>
    <w:p>
      <w:pPr>
        <w:pStyle w:val="Heading1"/>
        <w:spacing w:before="1"/>
      </w:pPr>
      <w:r>
        <w:rPr>
          <w:spacing w:val="-2"/>
          <w:w w:val="90"/>
        </w:rPr>
        <w:t>Responsibility</w:t>
      </w:r>
    </w:p>
    <w:p>
      <w:pPr>
        <w:pStyle w:val="ListParagraph"/>
        <w:numPr>
          <w:ilvl w:val="0"/>
          <w:numId w:val="1"/>
        </w:numPr>
        <w:tabs>
          <w:tab w:pos="1545" w:val="left" w:leader="none"/>
        </w:tabs>
        <w:spacing w:line="386" w:lineRule="exact" w:before="168" w:after="0"/>
        <w:ind w:left="1545" w:right="0" w:hanging="360"/>
        <w:jc w:val="left"/>
        <w:rPr>
          <w:sz w:val="22"/>
        </w:rPr>
      </w:pPr>
      <w:r>
        <w:rPr>
          <w:spacing w:val="-4"/>
          <w:sz w:val="22"/>
        </w:rPr>
        <w:t>Dean</w:t>
      </w:r>
    </w:p>
    <w:p>
      <w:pPr>
        <w:pStyle w:val="ListParagraph"/>
        <w:numPr>
          <w:ilvl w:val="0"/>
          <w:numId w:val="1"/>
        </w:numPr>
        <w:tabs>
          <w:tab w:pos="1545" w:val="left" w:leader="none"/>
        </w:tabs>
        <w:spacing w:line="377" w:lineRule="exact" w:before="0" w:after="0"/>
        <w:ind w:left="1545" w:right="0" w:hanging="360"/>
        <w:jc w:val="left"/>
        <w:rPr>
          <w:sz w:val="22"/>
        </w:rPr>
      </w:pPr>
      <w:r>
        <w:rPr>
          <w:sz w:val="22"/>
        </w:rPr>
        <w:t>Associate</w:t>
      </w:r>
      <w:r>
        <w:rPr>
          <w:spacing w:val="-6"/>
          <w:sz w:val="22"/>
        </w:rPr>
        <w:t> </w:t>
      </w:r>
      <w:r>
        <w:rPr>
          <w:sz w:val="22"/>
        </w:rPr>
        <w:t>Dean</w:t>
      </w:r>
      <w:r>
        <w:rPr>
          <w:spacing w:val="-6"/>
          <w:sz w:val="22"/>
        </w:rPr>
        <w:t> </w:t>
      </w:r>
      <w:r>
        <w:rPr>
          <w:sz w:val="22"/>
        </w:rPr>
        <w:t>for</w:t>
      </w:r>
      <w:r>
        <w:rPr>
          <w:spacing w:val="-6"/>
          <w:sz w:val="22"/>
        </w:rPr>
        <w:t> </w:t>
      </w:r>
      <w:r>
        <w:rPr>
          <w:sz w:val="22"/>
        </w:rPr>
        <w:t>faculty</w:t>
      </w:r>
      <w:r>
        <w:rPr>
          <w:spacing w:val="-5"/>
          <w:sz w:val="22"/>
        </w:rPr>
        <w:t> </w:t>
      </w:r>
      <w:r>
        <w:rPr>
          <w:spacing w:val="-2"/>
          <w:sz w:val="22"/>
        </w:rPr>
        <w:t>development</w:t>
      </w:r>
    </w:p>
    <w:p>
      <w:pPr>
        <w:pStyle w:val="ListParagraph"/>
        <w:numPr>
          <w:ilvl w:val="0"/>
          <w:numId w:val="1"/>
        </w:numPr>
        <w:tabs>
          <w:tab w:pos="1545" w:val="left" w:leader="none"/>
        </w:tabs>
        <w:spacing w:line="379" w:lineRule="exact" w:before="0" w:after="0"/>
        <w:ind w:left="1545" w:right="0" w:hanging="360"/>
        <w:jc w:val="left"/>
        <w:rPr>
          <w:sz w:val="22"/>
        </w:rPr>
      </w:pPr>
      <w:r>
        <w:rPr>
          <w:sz w:val="22"/>
        </w:rPr>
        <w:t>Department</w:t>
      </w:r>
      <w:r>
        <w:rPr>
          <w:spacing w:val="-10"/>
          <w:sz w:val="22"/>
        </w:rPr>
        <w:t> </w:t>
      </w:r>
      <w:r>
        <w:rPr>
          <w:spacing w:val="-2"/>
          <w:sz w:val="22"/>
        </w:rPr>
        <w:t>chairs</w:t>
      </w:r>
    </w:p>
    <w:p>
      <w:pPr>
        <w:pStyle w:val="ListParagraph"/>
        <w:numPr>
          <w:ilvl w:val="0"/>
          <w:numId w:val="1"/>
        </w:numPr>
        <w:tabs>
          <w:tab w:pos="1545" w:val="left" w:leader="none"/>
        </w:tabs>
        <w:spacing w:line="388" w:lineRule="exact" w:before="0" w:after="0"/>
        <w:ind w:left="1545" w:right="0" w:hanging="360"/>
        <w:jc w:val="left"/>
        <w:rPr>
          <w:sz w:val="22"/>
        </w:rPr>
      </w:pPr>
      <w:r>
        <w:rPr>
          <w:sz w:val="22"/>
        </w:rPr>
        <w:t>Department</w:t>
      </w:r>
      <w:r>
        <w:rPr>
          <w:spacing w:val="-7"/>
          <w:sz w:val="22"/>
        </w:rPr>
        <w:t> </w:t>
      </w:r>
      <w:r>
        <w:rPr>
          <w:sz w:val="22"/>
        </w:rPr>
        <w:t>and</w:t>
      </w:r>
      <w:r>
        <w:rPr>
          <w:spacing w:val="-6"/>
          <w:sz w:val="22"/>
        </w:rPr>
        <w:t> </w:t>
      </w:r>
      <w:r>
        <w:rPr>
          <w:sz w:val="22"/>
        </w:rPr>
        <w:t>college</w:t>
      </w:r>
      <w:r>
        <w:rPr>
          <w:spacing w:val="-7"/>
          <w:sz w:val="22"/>
        </w:rPr>
        <w:t> </w:t>
      </w:r>
      <w:r>
        <w:rPr>
          <w:sz w:val="22"/>
        </w:rPr>
        <w:t>search</w:t>
      </w:r>
      <w:r>
        <w:rPr>
          <w:spacing w:val="-6"/>
          <w:sz w:val="22"/>
        </w:rPr>
        <w:t> </w:t>
      </w:r>
      <w:r>
        <w:rPr>
          <w:spacing w:val="-2"/>
          <w:sz w:val="22"/>
        </w:rPr>
        <w:t>committees</w:t>
      </w:r>
    </w:p>
    <w:p>
      <w:pPr>
        <w:spacing w:after="0" w:line="388" w:lineRule="exact"/>
        <w:jc w:val="left"/>
        <w:rPr>
          <w:sz w:val="22"/>
        </w:rPr>
        <w:sectPr>
          <w:pgSz w:w="12240" w:h="15840"/>
          <w:pgMar w:header="1464" w:footer="1245" w:top="2100" w:bottom="1440" w:left="1340" w:right="1220"/>
        </w:sectPr>
      </w:pPr>
    </w:p>
    <w:p>
      <w:pPr>
        <w:pStyle w:val="BodyText"/>
        <w:rPr>
          <w:sz w:val="20"/>
        </w:rPr>
      </w:pPr>
    </w:p>
    <w:p>
      <w:pPr>
        <w:pStyle w:val="BodyText"/>
        <w:spacing w:before="6"/>
        <w:rPr>
          <w:sz w:val="21"/>
        </w:rPr>
      </w:pPr>
    </w:p>
    <w:p>
      <w:pPr>
        <w:pStyle w:val="Heading1"/>
        <w:spacing w:before="111"/>
      </w:pPr>
      <w:r>
        <w:rPr>
          <w:spacing w:val="-2"/>
          <w:w w:val="90"/>
        </w:rPr>
        <w:t>Approach</w:t>
      </w:r>
    </w:p>
    <w:p>
      <w:pPr>
        <w:pStyle w:val="ListParagraph"/>
        <w:numPr>
          <w:ilvl w:val="0"/>
          <w:numId w:val="1"/>
        </w:numPr>
        <w:tabs>
          <w:tab w:pos="1545" w:val="left" w:leader="none"/>
        </w:tabs>
        <w:spacing w:line="240" w:lineRule="auto" w:before="168" w:after="0"/>
        <w:ind w:left="1545" w:right="533" w:hanging="360"/>
        <w:jc w:val="left"/>
        <w:rPr>
          <w:sz w:val="22"/>
        </w:rPr>
      </w:pPr>
      <w:r>
        <w:rPr>
          <w:sz w:val="22"/>
        </w:rPr>
        <w:t>We</w:t>
      </w:r>
      <w:r>
        <w:rPr>
          <w:spacing w:val="-3"/>
          <w:sz w:val="22"/>
        </w:rPr>
        <w:t> </w:t>
      </w:r>
      <w:r>
        <w:rPr>
          <w:sz w:val="22"/>
        </w:rPr>
        <w:t>ensured</w:t>
      </w:r>
      <w:r>
        <w:rPr>
          <w:spacing w:val="-3"/>
          <w:sz w:val="22"/>
        </w:rPr>
        <w:t> </w:t>
      </w:r>
      <w:r>
        <w:rPr>
          <w:sz w:val="22"/>
        </w:rPr>
        <w:t>a</w:t>
      </w:r>
      <w:r>
        <w:rPr>
          <w:spacing w:val="-3"/>
          <w:sz w:val="22"/>
        </w:rPr>
        <w:t> </w:t>
      </w:r>
      <w:r>
        <w:rPr>
          <w:sz w:val="22"/>
        </w:rPr>
        <w:t>broad</w:t>
      </w:r>
      <w:r>
        <w:rPr>
          <w:spacing w:val="-3"/>
          <w:sz w:val="22"/>
        </w:rPr>
        <w:t> </w:t>
      </w:r>
      <w:r>
        <w:rPr>
          <w:sz w:val="22"/>
        </w:rPr>
        <w:t>and</w:t>
      </w:r>
      <w:r>
        <w:rPr>
          <w:spacing w:val="-3"/>
          <w:sz w:val="22"/>
        </w:rPr>
        <w:t> </w:t>
      </w:r>
      <w:r>
        <w:rPr>
          <w:sz w:val="22"/>
        </w:rPr>
        <w:t>diverse</w:t>
      </w:r>
      <w:r>
        <w:rPr>
          <w:spacing w:val="-3"/>
          <w:sz w:val="22"/>
        </w:rPr>
        <w:t> </w:t>
      </w:r>
      <w:r>
        <w:rPr>
          <w:sz w:val="22"/>
        </w:rPr>
        <w:t>pool</w:t>
      </w:r>
      <w:r>
        <w:rPr>
          <w:spacing w:val="-3"/>
          <w:sz w:val="22"/>
        </w:rPr>
        <w:t> </w:t>
      </w:r>
      <w:r>
        <w:rPr>
          <w:sz w:val="22"/>
        </w:rPr>
        <w:t>of</w:t>
      </w:r>
      <w:r>
        <w:rPr>
          <w:spacing w:val="-3"/>
          <w:sz w:val="22"/>
        </w:rPr>
        <w:t> </w:t>
      </w:r>
      <w:r>
        <w:rPr>
          <w:sz w:val="22"/>
        </w:rPr>
        <w:t>applicants</w:t>
      </w:r>
      <w:r>
        <w:rPr>
          <w:spacing w:val="-3"/>
          <w:sz w:val="22"/>
        </w:rPr>
        <w:t> </w:t>
      </w:r>
      <w:r>
        <w:rPr>
          <w:sz w:val="22"/>
        </w:rPr>
        <w:t>by</w:t>
      </w:r>
      <w:r>
        <w:rPr>
          <w:spacing w:val="-3"/>
          <w:sz w:val="22"/>
        </w:rPr>
        <w:t> </w:t>
      </w:r>
      <w:r>
        <w:rPr>
          <w:sz w:val="22"/>
        </w:rPr>
        <w:t>training</w:t>
      </w:r>
      <w:r>
        <w:rPr>
          <w:spacing w:val="-3"/>
          <w:sz w:val="22"/>
        </w:rPr>
        <w:t> </w:t>
      </w:r>
      <w:r>
        <w:rPr>
          <w:sz w:val="22"/>
        </w:rPr>
        <w:t>search</w:t>
      </w:r>
      <w:r>
        <w:rPr>
          <w:spacing w:val="-3"/>
          <w:sz w:val="22"/>
        </w:rPr>
        <w:t> </w:t>
      </w:r>
      <w:r>
        <w:rPr>
          <w:sz w:val="22"/>
        </w:rPr>
        <w:t>committees</w:t>
      </w:r>
      <w:r>
        <w:rPr>
          <w:spacing w:val="-3"/>
          <w:sz w:val="22"/>
        </w:rPr>
        <w:t> </w:t>
      </w:r>
      <w:r>
        <w:rPr>
          <w:sz w:val="22"/>
        </w:rPr>
        <w:t>on building diverse pools of applicants, writing a broad job description, advertising in a wide range of outlets including those focused on specific demographic groups, and adding to the candidate evaluation criteria.</w:t>
      </w:r>
    </w:p>
    <w:p>
      <w:pPr>
        <w:pStyle w:val="ListParagraph"/>
        <w:numPr>
          <w:ilvl w:val="0"/>
          <w:numId w:val="1"/>
        </w:numPr>
        <w:tabs>
          <w:tab w:pos="1545" w:val="left" w:leader="none"/>
        </w:tabs>
        <w:spacing w:line="235" w:lineRule="auto" w:before="0" w:after="0"/>
        <w:ind w:left="1545" w:right="478" w:hanging="360"/>
        <w:jc w:val="left"/>
        <w:rPr>
          <w:sz w:val="22"/>
        </w:rPr>
      </w:pPr>
      <w:r>
        <w:rPr>
          <w:sz w:val="22"/>
        </w:rPr>
        <w:t>The dean and associate dean for faculty development led the department chairs and search</w:t>
      </w:r>
      <w:r>
        <w:rPr>
          <w:spacing w:val="-3"/>
          <w:sz w:val="22"/>
        </w:rPr>
        <w:t> </w:t>
      </w:r>
      <w:r>
        <w:rPr>
          <w:sz w:val="22"/>
        </w:rPr>
        <w:t>committee</w:t>
      </w:r>
      <w:r>
        <w:rPr>
          <w:spacing w:val="-3"/>
          <w:sz w:val="22"/>
        </w:rPr>
        <w:t> </w:t>
      </w:r>
      <w:r>
        <w:rPr>
          <w:sz w:val="22"/>
        </w:rPr>
        <w:t>in</w:t>
      </w:r>
      <w:r>
        <w:rPr>
          <w:spacing w:val="-3"/>
          <w:sz w:val="22"/>
        </w:rPr>
        <w:t> </w:t>
      </w:r>
      <w:r>
        <w:rPr>
          <w:sz w:val="22"/>
        </w:rPr>
        <w:t>a</w:t>
      </w:r>
      <w:r>
        <w:rPr>
          <w:spacing w:val="-3"/>
          <w:sz w:val="22"/>
        </w:rPr>
        <w:t> </w:t>
      </w:r>
      <w:r>
        <w:rPr>
          <w:sz w:val="22"/>
        </w:rPr>
        <w:t>series</w:t>
      </w:r>
      <w:r>
        <w:rPr>
          <w:spacing w:val="-3"/>
          <w:sz w:val="22"/>
        </w:rPr>
        <w:t> </w:t>
      </w:r>
      <w:r>
        <w:rPr>
          <w:sz w:val="22"/>
        </w:rPr>
        <w:t>of</w:t>
      </w:r>
      <w:r>
        <w:rPr>
          <w:spacing w:val="-3"/>
          <w:sz w:val="22"/>
        </w:rPr>
        <w:t> </w:t>
      </w:r>
      <w:r>
        <w:rPr>
          <w:sz w:val="22"/>
        </w:rPr>
        <w:t>training</w:t>
      </w:r>
      <w:r>
        <w:rPr>
          <w:spacing w:val="-3"/>
          <w:sz w:val="22"/>
        </w:rPr>
        <w:t> </w:t>
      </w:r>
      <w:r>
        <w:rPr>
          <w:sz w:val="22"/>
        </w:rPr>
        <w:t>and</w:t>
      </w:r>
      <w:r>
        <w:rPr>
          <w:spacing w:val="-3"/>
          <w:sz w:val="22"/>
        </w:rPr>
        <w:t> </w:t>
      </w:r>
      <w:r>
        <w:rPr>
          <w:sz w:val="22"/>
        </w:rPr>
        <w:t>discussions</w:t>
      </w:r>
      <w:r>
        <w:rPr>
          <w:spacing w:val="-3"/>
          <w:sz w:val="22"/>
        </w:rPr>
        <w:t> </w:t>
      </w:r>
      <w:r>
        <w:rPr>
          <w:sz w:val="22"/>
        </w:rPr>
        <w:t>on</w:t>
      </w:r>
      <w:r>
        <w:rPr>
          <w:spacing w:val="-3"/>
          <w:sz w:val="22"/>
        </w:rPr>
        <w:t> </w:t>
      </w:r>
      <w:r>
        <w:rPr>
          <w:sz w:val="22"/>
        </w:rPr>
        <w:t>recruiting</w:t>
      </w:r>
      <w:r>
        <w:rPr>
          <w:spacing w:val="-3"/>
          <w:sz w:val="22"/>
        </w:rPr>
        <w:t> </w:t>
      </w:r>
      <w:r>
        <w:rPr>
          <w:sz w:val="22"/>
        </w:rPr>
        <w:t>diverse</w:t>
      </w:r>
      <w:r>
        <w:rPr>
          <w:spacing w:val="-3"/>
          <w:sz w:val="22"/>
        </w:rPr>
        <w:t> </w:t>
      </w:r>
      <w:r>
        <w:rPr>
          <w:sz w:val="22"/>
        </w:rPr>
        <w:t>faculty.</w:t>
      </w:r>
    </w:p>
    <w:p>
      <w:pPr>
        <w:pStyle w:val="ListParagraph"/>
        <w:numPr>
          <w:ilvl w:val="0"/>
          <w:numId w:val="1"/>
        </w:numPr>
        <w:tabs>
          <w:tab w:pos="1545" w:val="left" w:leader="none"/>
        </w:tabs>
        <w:spacing w:line="240" w:lineRule="auto" w:before="0" w:after="0"/>
        <w:ind w:left="1545" w:right="406" w:hanging="360"/>
        <w:jc w:val="left"/>
        <w:rPr>
          <w:sz w:val="22"/>
        </w:rPr>
      </w:pPr>
      <w:r>
        <w:rPr>
          <w:sz w:val="22"/>
        </w:rPr>
        <w:t>The</w:t>
      </w:r>
      <w:r>
        <w:rPr>
          <w:spacing w:val="-4"/>
          <w:sz w:val="22"/>
        </w:rPr>
        <w:t> </w:t>
      </w:r>
      <w:r>
        <w:rPr>
          <w:sz w:val="22"/>
        </w:rPr>
        <w:t>deans</w:t>
      </w:r>
      <w:r>
        <w:rPr>
          <w:spacing w:val="-4"/>
          <w:sz w:val="22"/>
        </w:rPr>
        <w:t> </w:t>
      </w:r>
      <w:r>
        <w:rPr>
          <w:sz w:val="22"/>
        </w:rPr>
        <w:t>and</w:t>
      </w:r>
      <w:r>
        <w:rPr>
          <w:spacing w:val="-4"/>
          <w:sz w:val="22"/>
        </w:rPr>
        <w:t> </w:t>
      </w:r>
      <w:r>
        <w:rPr>
          <w:sz w:val="22"/>
        </w:rPr>
        <w:t>department</w:t>
      </w:r>
      <w:r>
        <w:rPr>
          <w:spacing w:val="-4"/>
          <w:sz w:val="22"/>
        </w:rPr>
        <w:t> </w:t>
      </w:r>
      <w:r>
        <w:rPr>
          <w:sz w:val="22"/>
        </w:rPr>
        <w:t>chairs</w:t>
      </w:r>
      <w:r>
        <w:rPr>
          <w:spacing w:val="-4"/>
          <w:sz w:val="22"/>
        </w:rPr>
        <w:t> </w:t>
      </w:r>
      <w:r>
        <w:rPr>
          <w:sz w:val="22"/>
        </w:rPr>
        <w:t>collaborated</w:t>
      </w:r>
      <w:r>
        <w:rPr>
          <w:spacing w:val="-4"/>
          <w:sz w:val="22"/>
        </w:rPr>
        <w:t> </w:t>
      </w:r>
      <w:r>
        <w:rPr>
          <w:sz w:val="22"/>
        </w:rPr>
        <w:t>on</w:t>
      </w:r>
      <w:r>
        <w:rPr>
          <w:spacing w:val="-4"/>
          <w:sz w:val="22"/>
        </w:rPr>
        <w:t> </w:t>
      </w:r>
      <w:r>
        <w:rPr>
          <w:sz w:val="22"/>
        </w:rPr>
        <w:t>a</w:t>
      </w:r>
      <w:r>
        <w:rPr>
          <w:spacing w:val="-4"/>
          <w:sz w:val="22"/>
        </w:rPr>
        <w:t> </w:t>
      </w:r>
      <w:r>
        <w:rPr>
          <w:sz w:val="22"/>
        </w:rPr>
        <w:t>job</w:t>
      </w:r>
      <w:r>
        <w:rPr>
          <w:spacing w:val="-4"/>
          <w:sz w:val="22"/>
        </w:rPr>
        <w:t> </w:t>
      </w:r>
      <w:r>
        <w:rPr>
          <w:sz w:val="22"/>
        </w:rPr>
        <w:t>description</w:t>
      </w:r>
      <w:r>
        <w:rPr>
          <w:spacing w:val="-4"/>
          <w:sz w:val="22"/>
        </w:rPr>
        <w:t> </w:t>
      </w:r>
      <w:r>
        <w:rPr>
          <w:sz w:val="22"/>
        </w:rPr>
        <w:t>template</w:t>
      </w:r>
      <w:r>
        <w:rPr>
          <w:spacing w:val="-4"/>
          <w:sz w:val="22"/>
        </w:rPr>
        <w:t> </w:t>
      </w:r>
      <w:r>
        <w:rPr>
          <w:sz w:val="22"/>
        </w:rPr>
        <w:t>that</w:t>
      </w:r>
      <w:r>
        <w:rPr>
          <w:spacing w:val="-4"/>
          <w:sz w:val="22"/>
        </w:rPr>
        <w:t> </w:t>
      </w:r>
      <w:r>
        <w:rPr>
          <w:sz w:val="22"/>
        </w:rPr>
        <w:t>was inclusive of a wide range of candidate backgrounds.</w:t>
      </w:r>
    </w:p>
    <w:p>
      <w:pPr>
        <w:pStyle w:val="ListParagraph"/>
        <w:numPr>
          <w:ilvl w:val="0"/>
          <w:numId w:val="1"/>
        </w:numPr>
        <w:tabs>
          <w:tab w:pos="1545" w:val="left" w:leader="none"/>
        </w:tabs>
        <w:spacing w:line="370" w:lineRule="exact" w:before="0" w:after="0"/>
        <w:ind w:left="1545" w:right="0" w:hanging="360"/>
        <w:jc w:val="left"/>
        <w:rPr>
          <w:sz w:val="22"/>
        </w:rPr>
      </w:pPr>
      <w:r>
        <w:rPr>
          <w:sz w:val="22"/>
        </w:rPr>
        <w:t>Two</w:t>
      </w:r>
      <w:r>
        <w:rPr>
          <w:spacing w:val="-10"/>
          <w:sz w:val="22"/>
        </w:rPr>
        <w:t> </w:t>
      </w:r>
      <w:r>
        <w:rPr>
          <w:sz w:val="22"/>
        </w:rPr>
        <w:t>department</w:t>
      </w:r>
      <w:r>
        <w:rPr>
          <w:spacing w:val="-7"/>
          <w:sz w:val="22"/>
        </w:rPr>
        <w:t> </w:t>
      </w:r>
      <w:r>
        <w:rPr>
          <w:sz w:val="22"/>
        </w:rPr>
        <w:t>chairs</w:t>
      </w:r>
      <w:r>
        <w:rPr>
          <w:spacing w:val="-7"/>
          <w:sz w:val="22"/>
        </w:rPr>
        <w:t> </w:t>
      </w:r>
      <w:r>
        <w:rPr>
          <w:sz w:val="22"/>
        </w:rPr>
        <w:t>attended</w:t>
      </w:r>
      <w:r>
        <w:rPr>
          <w:spacing w:val="-7"/>
          <w:sz w:val="22"/>
        </w:rPr>
        <w:t> </w:t>
      </w:r>
      <w:r>
        <w:rPr>
          <w:sz w:val="22"/>
        </w:rPr>
        <w:t>national</w:t>
      </w:r>
      <w:r>
        <w:rPr>
          <w:spacing w:val="-8"/>
          <w:sz w:val="22"/>
        </w:rPr>
        <w:t> </w:t>
      </w:r>
      <w:r>
        <w:rPr>
          <w:sz w:val="22"/>
        </w:rPr>
        <w:t>conferences</w:t>
      </w:r>
      <w:r>
        <w:rPr>
          <w:spacing w:val="-7"/>
          <w:sz w:val="22"/>
        </w:rPr>
        <w:t> </w:t>
      </w:r>
      <w:r>
        <w:rPr>
          <w:sz w:val="22"/>
        </w:rPr>
        <w:t>and</w:t>
      </w:r>
      <w:r>
        <w:rPr>
          <w:spacing w:val="-7"/>
          <w:sz w:val="22"/>
        </w:rPr>
        <w:t> </w:t>
      </w:r>
      <w:r>
        <w:rPr>
          <w:sz w:val="22"/>
        </w:rPr>
        <w:t>recruited</w:t>
      </w:r>
      <w:r>
        <w:rPr>
          <w:spacing w:val="-7"/>
          <w:sz w:val="22"/>
        </w:rPr>
        <w:t> </w:t>
      </w:r>
      <w:r>
        <w:rPr>
          <w:spacing w:val="-2"/>
          <w:sz w:val="22"/>
        </w:rPr>
        <w:t>applicants.</w:t>
      </w:r>
    </w:p>
    <w:p>
      <w:pPr>
        <w:pStyle w:val="ListParagraph"/>
        <w:numPr>
          <w:ilvl w:val="0"/>
          <w:numId w:val="1"/>
        </w:numPr>
        <w:tabs>
          <w:tab w:pos="1545" w:val="left" w:leader="none"/>
        </w:tabs>
        <w:spacing w:line="240" w:lineRule="auto" w:before="0" w:after="0"/>
        <w:ind w:left="1545" w:right="368" w:hanging="360"/>
        <w:jc w:val="left"/>
        <w:rPr>
          <w:sz w:val="22"/>
        </w:rPr>
      </w:pPr>
      <w:r>
        <w:rPr>
          <w:sz w:val="22"/>
        </w:rPr>
        <w:t>Candidates</w:t>
      </w:r>
      <w:r>
        <w:rPr>
          <w:spacing w:val="-4"/>
          <w:sz w:val="22"/>
        </w:rPr>
        <w:t> </w:t>
      </w:r>
      <w:r>
        <w:rPr>
          <w:sz w:val="22"/>
        </w:rPr>
        <w:t>were</w:t>
      </w:r>
      <w:r>
        <w:rPr>
          <w:spacing w:val="-4"/>
          <w:sz w:val="22"/>
        </w:rPr>
        <w:t> </w:t>
      </w:r>
      <w:r>
        <w:rPr>
          <w:sz w:val="22"/>
        </w:rPr>
        <w:t>required</w:t>
      </w:r>
      <w:r>
        <w:rPr>
          <w:spacing w:val="-4"/>
          <w:sz w:val="22"/>
        </w:rPr>
        <w:t> </w:t>
      </w:r>
      <w:r>
        <w:rPr>
          <w:sz w:val="22"/>
        </w:rPr>
        <w:t>to</w:t>
      </w:r>
      <w:r>
        <w:rPr>
          <w:spacing w:val="-4"/>
          <w:sz w:val="22"/>
        </w:rPr>
        <w:t> </w:t>
      </w:r>
      <w:r>
        <w:rPr>
          <w:sz w:val="22"/>
        </w:rPr>
        <w:t>submit</w:t>
      </w:r>
      <w:r>
        <w:rPr>
          <w:spacing w:val="-4"/>
          <w:sz w:val="22"/>
        </w:rPr>
        <w:t> </w:t>
      </w:r>
      <w:r>
        <w:rPr>
          <w:sz w:val="22"/>
        </w:rPr>
        <w:t>research,</w:t>
      </w:r>
      <w:r>
        <w:rPr>
          <w:spacing w:val="-4"/>
          <w:sz w:val="22"/>
        </w:rPr>
        <w:t> </w:t>
      </w:r>
      <w:r>
        <w:rPr>
          <w:sz w:val="22"/>
        </w:rPr>
        <w:t>teaching</w:t>
      </w:r>
      <w:r>
        <w:rPr>
          <w:spacing w:val="-4"/>
          <w:sz w:val="22"/>
        </w:rPr>
        <w:t> </w:t>
      </w:r>
      <w:r>
        <w:rPr>
          <w:sz w:val="22"/>
        </w:rPr>
        <w:t>and</w:t>
      </w:r>
      <w:r>
        <w:rPr>
          <w:spacing w:val="-4"/>
          <w:sz w:val="22"/>
        </w:rPr>
        <w:t> </w:t>
      </w:r>
      <w:r>
        <w:rPr>
          <w:sz w:val="22"/>
        </w:rPr>
        <w:t>DE&amp;I</w:t>
      </w:r>
      <w:r>
        <w:rPr>
          <w:spacing w:val="-4"/>
          <w:sz w:val="22"/>
        </w:rPr>
        <w:t> </w:t>
      </w:r>
      <w:r>
        <w:rPr>
          <w:sz w:val="22"/>
        </w:rPr>
        <w:t>statements</w:t>
      </w:r>
      <w:r>
        <w:rPr>
          <w:spacing w:val="-4"/>
          <w:sz w:val="22"/>
        </w:rPr>
        <w:t> </w:t>
      </w:r>
      <w:r>
        <w:rPr>
          <w:sz w:val="22"/>
        </w:rPr>
        <w:t>and</w:t>
      </w:r>
      <w:r>
        <w:rPr>
          <w:spacing w:val="-4"/>
          <w:sz w:val="22"/>
        </w:rPr>
        <w:t> </w:t>
      </w:r>
      <w:r>
        <w:rPr>
          <w:sz w:val="22"/>
        </w:rPr>
        <w:t>were evaluated on four criteria weighted equally: research accomplishments, research potential, teaching accomplishments and DE&amp;I accomplishments.</w:t>
      </w:r>
    </w:p>
    <w:p>
      <w:pPr>
        <w:pStyle w:val="BodyText"/>
        <w:rPr>
          <w:sz w:val="26"/>
        </w:rPr>
      </w:pPr>
    </w:p>
    <w:p>
      <w:pPr>
        <w:pStyle w:val="BodyText"/>
        <w:spacing w:before="9"/>
        <w:rPr>
          <w:sz w:val="27"/>
        </w:rPr>
      </w:pPr>
    </w:p>
    <w:p>
      <w:pPr>
        <w:pStyle w:val="Heading1"/>
        <w:spacing w:before="1"/>
      </w:pPr>
      <w:r>
        <w:rPr>
          <w:spacing w:val="-2"/>
          <w:w w:val="90"/>
        </w:rPr>
        <w:t>Impact</w:t>
      </w:r>
    </w:p>
    <w:p>
      <w:pPr>
        <w:pStyle w:val="BodyText"/>
        <w:spacing w:line="259" w:lineRule="auto" w:before="186"/>
        <w:ind w:left="825" w:right="277"/>
      </w:pPr>
      <w:r>
        <w:rPr/>
        <w:t>Candidates</w:t>
      </w:r>
      <w:r>
        <w:rPr>
          <w:spacing w:val="-4"/>
        </w:rPr>
        <w:t> </w:t>
      </w:r>
      <w:r>
        <w:rPr/>
        <w:t>were</w:t>
      </w:r>
      <w:r>
        <w:rPr>
          <w:spacing w:val="-4"/>
        </w:rPr>
        <w:t> </w:t>
      </w:r>
      <w:r>
        <w:rPr/>
        <w:t>rejected</w:t>
      </w:r>
      <w:r>
        <w:rPr>
          <w:spacing w:val="-4"/>
        </w:rPr>
        <w:t> </w:t>
      </w:r>
      <w:r>
        <w:rPr/>
        <w:t>without</w:t>
      </w:r>
      <w:r>
        <w:rPr>
          <w:spacing w:val="-4"/>
        </w:rPr>
        <w:t> </w:t>
      </w:r>
      <w:r>
        <w:rPr/>
        <w:t>further</w:t>
      </w:r>
      <w:r>
        <w:rPr>
          <w:spacing w:val="-4"/>
        </w:rPr>
        <w:t> </w:t>
      </w:r>
      <w:r>
        <w:rPr/>
        <w:t>consideration</w:t>
      </w:r>
      <w:r>
        <w:rPr>
          <w:spacing w:val="-4"/>
        </w:rPr>
        <w:t> </w:t>
      </w:r>
      <w:r>
        <w:rPr/>
        <w:t>if</w:t>
      </w:r>
      <w:r>
        <w:rPr>
          <w:spacing w:val="-4"/>
        </w:rPr>
        <w:t> </w:t>
      </w:r>
      <w:r>
        <w:rPr/>
        <w:t>all</w:t>
      </w:r>
      <w:r>
        <w:rPr>
          <w:spacing w:val="-4"/>
        </w:rPr>
        <w:t> </w:t>
      </w:r>
      <w:r>
        <w:rPr/>
        <w:t>three</w:t>
      </w:r>
      <w:r>
        <w:rPr>
          <w:spacing w:val="-4"/>
        </w:rPr>
        <w:t> </w:t>
      </w:r>
      <w:r>
        <w:rPr/>
        <w:t>required</w:t>
      </w:r>
      <w:r>
        <w:rPr>
          <w:spacing w:val="-4"/>
        </w:rPr>
        <w:t> </w:t>
      </w:r>
      <w:r>
        <w:rPr/>
        <w:t>statements</w:t>
      </w:r>
      <w:r>
        <w:rPr>
          <w:spacing w:val="-4"/>
        </w:rPr>
        <w:t> </w:t>
      </w:r>
      <w:r>
        <w:rPr/>
        <w:t>were not submitted. There were one Black and 13 Hispanic applicants in the entire candidate pool based on the voluntary demographic information provided. The six department searches yielded 21 finalists of whom nine were female and 12 were male. There were no Black or Hispanic candidates who made it to the finalist stage. We made 17 job offers and two were accepted: one female and one male. There is one outstanding offer.</w:t>
      </w:r>
    </w:p>
    <w:p>
      <w:pPr>
        <w:pStyle w:val="BodyText"/>
        <w:rPr>
          <w:sz w:val="26"/>
        </w:rPr>
      </w:pPr>
    </w:p>
    <w:p>
      <w:pPr>
        <w:pStyle w:val="BodyText"/>
        <w:spacing w:before="2"/>
      </w:pPr>
    </w:p>
    <w:p>
      <w:pPr>
        <w:pStyle w:val="Heading1"/>
      </w:pPr>
      <w:r>
        <w:rPr>
          <w:w w:val="80"/>
        </w:rPr>
        <w:t>Next</w:t>
      </w:r>
      <w:r>
        <w:rPr>
          <w:spacing w:val="-5"/>
          <w:w w:val="90"/>
        </w:rPr>
        <w:t> </w:t>
      </w:r>
      <w:r>
        <w:rPr>
          <w:spacing w:val="-4"/>
          <w:w w:val="90"/>
        </w:rPr>
        <w:t>Steps</w:t>
      </w:r>
    </w:p>
    <w:p>
      <w:pPr>
        <w:pStyle w:val="BodyText"/>
        <w:spacing w:line="259" w:lineRule="auto" w:before="182"/>
        <w:ind w:left="825" w:right="277"/>
      </w:pPr>
      <w:r>
        <w:rPr/>
        <w:t>The deans and chairs will analyze the tenure-track faculty process to identify strengths and areas for improvement. We will work with minority-serving institutions, such as Historically Black</w:t>
      </w:r>
      <w:r>
        <w:rPr>
          <w:spacing w:val="-1"/>
        </w:rPr>
        <w:t> </w:t>
      </w:r>
      <w:r>
        <w:rPr/>
        <w:t>Colleges</w:t>
      </w:r>
      <w:r>
        <w:rPr>
          <w:spacing w:val="-1"/>
        </w:rPr>
        <w:t> </w:t>
      </w:r>
      <w:r>
        <w:rPr/>
        <w:t>and Universities</w:t>
      </w:r>
      <w:r>
        <w:rPr>
          <w:spacing w:val="-1"/>
        </w:rPr>
        <w:t> </w:t>
      </w:r>
      <w:r>
        <w:rPr/>
        <w:t>(HBCUs)</w:t>
      </w:r>
      <w:r>
        <w:rPr>
          <w:spacing w:val="-1"/>
        </w:rPr>
        <w:t> </w:t>
      </w:r>
      <w:r>
        <w:rPr/>
        <w:t>and</w:t>
      </w:r>
      <w:r>
        <w:rPr>
          <w:spacing w:val="-1"/>
        </w:rPr>
        <w:t> </w:t>
      </w:r>
      <w:r>
        <w:rPr/>
        <w:t>HSIs.</w:t>
      </w:r>
      <w:r>
        <w:rPr>
          <w:spacing w:val="-1"/>
        </w:rPr>
        <w:t> </w:t>
      </w:r>
      <w:r>
        <w:rPr/>
        <w:t>The</w:t>
      </w:r>
      <w:r>
        <w:rPr>
          <w:spacing w:val="-1"/>
        </w:rPr>
        <w:t> </w:t>
      </w:r>
      <w:r>
        <w:rPr/>
        <w:t>objective</w:t>
      </w:r>
      <w:r>
        <w:rPr>
          <w:spacing w:val="-1"/>
        </w:rPr>
        <w:t> </w:t>
      </w:r>
      <w:r>
        <w:rPr/>
        <w:t>is</w:t>
      </w:r>
      <w:r>
        <w:rPr>
          <w:spacing w:val="-1"/>
        </w:rPr>
        <w:t> </w:t>
      </w:r>
      <w:r>
        <w:rPr/>
        <w:t>to</w:t>
      </w:r>
      <w:r>
        <w:rPr>
          <w:spacing w:val="-1"/>
        </w:rPr>
        <w:t> </w:t>
      </w:r>
      <w:r>
        <w:rPr/>
        <w:t>identify</w:t>
      </w:r>
      <w:r>
        <w:rPr>
          <w:spacing w:val="-1"/>
        </w:rPr>
        <w:t> </w:t>
      </w:r>
      <w:r>
        <w:rPr/>
        <w:t>people</w:t>
      </w:r>
      <w:r>
        <w:rPr>
          <w:spacing w:val="-1"/>
        </w:rPr>
        <w:t> </w:t>
      </w:r>
      <w:r>
        <w:rPr/>
        <w:t>early</w:t>
      </w:r>
      <w:r>
        <w:rPr>
          <w:spacing w:val="-1"/>
        </w:rPr>
        <w:t> </w:t>
      </w:r>
      <w:r>
        <w:rPr/>
        <w:t>who are</w:t>
      </w:r>
      <w:r>
        <w:rPr>
          <w:spacing w:val="-3"/>
        </w:rPr>
        <w:t> </w:t>
      </w:r>
      <w:r>
        <w:rPr/>
        <w:t>interested</w:t>
      </w:r>
      <w:r>
        <w:rPr>
          <w:spacing w:val="-3"/>
        </w:rPr>
        <w:t> </w:t>
      </w:r>
      <w:r>
        <w:rPr/>
        <w:t>in</w:t>
      </w:r>
      <w:r>
        <w:rPr>
          <w:spacing w:val="-3"/>
        </w:rPr>
        <w:t> </w:t>
      </w:r>
      <w:r>
        <w:rPr/>
        <w:t>a</w:t>
      </w:r>
      <w:r>
        <w:rPr>
          <w:spacing w:val="-3"/>
        </w:rPr>
        <w:t> </w:t>
      </w:r>
      <w:r>
        <w:rPr/>
        <w:t>faculty</w:t>
      </w:r>
      <w:r>
        <w:rPr>
          <w:spacing w:val="-3"/>
        </w:rPr>
        <w:t> </w:t>
      </w:r>
      <w:r>
        <w:rPr/>
        <w:t>career</w:t>
      </w:r>
      <w:r>
        <w:rPr>
          <w:spacing w:val="-3"/>
        </w:rPr>
        <w:t> </w:t>
      </w:r>
      <w:r>
        <w:rPr/>
        <w:t>and</w:t>
      </w:r>
      <w:r>
        <w:rPr>
          <w:spacing w:val="-3"/>
        </w:rPr>
        <w:t> </w:t>
      </w:r>
      <w:r>
        <w:rPr/>
        <w:t>in</w:t>
      </w:r>
      <w:r>
        <w:rPr>
          <w:spacing w:val="-3"/>
        </w:rPr>
        <w:t> </w:t>
      </w:r>
      <w:r>
        <w:rPr/>
        <w:t>WSU’s</w:t>
      </w:r>
      <w:r>
        <w:rPr>
          <w:spacing w:val="-3"/>
        </w:rPr>
        <w:t> </w:t>
      </w:r>
      <w:r>
        <w:rPr/>
        <w:t>mission</w:t>
      </w:r>
      <w:r>
        <w:rPr>
          <w:spacing w:val="-3"/>
        </w:rPr>
        <w:t> </w:t>
      </w:r>
      <w:r>
        <w:rPr/>
        <w:t>so</w:t>
      </w:r>
      <w:r>
        <w:rPr>
          <w:spacing w:val="-3"/>
        </w:rPr>
        <w:t> </w:t>
      </w:r>
      <w:r>
        <w:rPr/>
        <w:t>that</w:t>
      </w:r>
      <w:r>
        <w:rPr>
          <w:spacing w:val="-3"/>
        </w:rPr>
        <w:t> </w:t>
      </w:r>
      <w:r>
        <w:rPr/>
        <w:t>we</w:t>
      </w:r>
      <w:r>
        <w:rPr>
          <w:spacing w:val="-3"/>
        </w:rPr>
        <w:t> </w:t>
      </w:r>
      <w:r>
        <w:rPr/>
        <w:t>can</w:t>
      </w:r>
      <w:r>
        <w:rPr>
          <w:spacing w:val="-3"/>
        </w:rPr>
        <w:t> </w:t>
      </w:r>
      <w:r>
        <w:rPr/>
        <w:t>help</w:t>
      </w:r>
      <w:r>
        <w:rPr>
          <w:spacing w:val="-3"/>
        </w:rPr>
        <w:t> </w:t>
      </w:r>
      <w:r>
        <w:rPr/>
        <w:t>them</w:t>
      </w:r>
      <w:r>
        <w:rPr>
          <w:spacing w:val="-3"/>
        </w:rPr>
        <w:t> </w:t>
      </w:r>
      <w:r>
        <w:rPr/>
        <w:t>become</w:t>
      </w:r>
      <w:r>
        <w:rPr>
          <w:spacing w:val="-3"/>
        </w:rPr>
        <w:t> </w:t>
      </w:r>
      <w:r>
        <w:rPr/>
        <w:t>more competitive tenure-track candidates.</w:t>
      </w:r>
    </w:p>
    <w:p>
      <w:pPr>
        <w:spacing w:after="0" w:line="259" w:lineRule="auto"/>
        <w:sectPr>
          <w:pgSz w:w="12240" w:h="15840"/>
          <w:pgMar w:header="1464" w:footer="1245" w:top="2100" w:bottom="1440" w:left="1340" w:right="1220"/>
        </w:sectPr>
      </w:pPr>
    </w:p>
    <w:p>
      <w:pPr>
        <w:pStyle w:val="BodyText"/>
        <w:rPr>
          <w:sz w:val="20"/>
        </w:rPr>
      </w:pPr>
    </w:p>
    <w:p>
      <w:pPr>
        <w:pStyle w:val="BodyText"/>
        <w:spacing w:before="7"/>
        <w:rPr>
          <w:sz w:val="21"/>
        </w:rPr>
      </w:pPr>
    </w:p>
    <w:p>
      <w:pPr>
        <w:spacing w:before="110"/>
        <w:ind w:left="105" w:right="0" w:firstLine="0"/>
        <w:jc w:val="left"/>
        <w:rPr>
          <w:rFonts w:ascii="Calibri"/>
          <w:b/>
          <w:sz w:val="36"/>
        </w:rPr>
      </w:pPr>
      <w:r>
        <w:rPr>
          <w:rFonts w:ascii="Calibri"/>
          <w:b/>
          <w:w w:val="80"/>
          <w:sz w:val="36"/>
        </w:rPr>
        <w:t>Featured</w:t>
      </w:r>
      <w:r>
        <w:rPr>
          <w:rFonts w:ascii="Calibri"/>
          <w:b/>
          <w:spacing w:val="-13"/>
          <w:sz w:val="36"/>
        </w:rPr>
        <w:t> </w:t>
      </w:r>
      <w:r>
        <w:rPr>
          <w:rFonts w:ascii="Calibri"/>
          <w:b/>
          <w:w w:val="80"/>
          <w:sz w:val="36"/>
        </w:rPr>
        <w:t>Student</w:t>
      </w:r>
      <w:r>
        <w:rPr>
          <w:rFonts w:ascii="Calibri"/>
          <w:b/>
          <w:spacing w:val="-13"/>
          <w:sz w:val="36"/>
        </w:rPr>
        <w:t> </w:t>
      </w:r>
      <w:r>
        <w:rPr>
          <w:rFonts w:ascii="Calibri"/>
          <w:b/>
          <w:w w:val="80"/>
          <w:sz w:val="36"/>
        </w:rPr>
        <w:t>Programs</w:t>
      </w:r>
      <w:r>
        <w:rPr>
          <w:rFonts w:ascii="Calibri"/>
          <w:b/>
          <w:spacing w:val="-13"/>
          <w:sz w:val="36"/>
        </w:rPr>
        <w:t> </w:t>
      </w:r>
      <w:r>
        <w:rPr>
          <w:rFonts w:ascii="Calibri"/>
          <w:b/>
          <w:w w:val="80"/>
          <w:sz w:val="36"/>
        </w:rPr>
        <w:t>and</w:t>
      </w:r>
      <w:r>
        <w:rPr>
          <w:rFonts w:ascii="Calibri"/>
          <w:b/>
          <w:spacing w:val="-13"/>
          <w:sz w:val="36"/>
        </w:rPr>
        <w:t> </w:t>
      </w:r>
      <w:r>
        <w:rPr>
          <w:rFonts w:ascii="Calibri"/>
          <w:b/>
          <w:spacing w:val="-2"/>
          <w:w w:val="80"/>
          <w:sz w:val="36"/>
        </w:rPr>
        <w:t>Events</w:t>
      </w:r>
    </w:p>
    <w:p>
      <w:pPr>
        <w:pStyle w:val="BodyText"/>
        <w:spacing w:before="8"/>
        <w:rPr>
          <w:rFonts w:ascii="Calibri"/>
          <w:b/>
          <w:sz w:val="53"/>
        </w:rPr>
      </w:pPr>
    </w:p>
    <w:p>
      <w:pPr>
        <w:pStyle w:val="Heading1"/>
      </w:pPr>
      <w:r>
        <w:rPr>
          <w:spacing w:val="-2"/>
          <w:w w:val="80"/>
        </w:rPr>
        <w:t>Shocker</w:t>
      </w:r>
      <w:r>
        <w:rPr>
          <w:spacing w:val="-7"/>
        </w:rPr>
        <w:t> </w:t>
      </w:r>
      <w:r>
        <w:rPr>
          <w:spacing w:val="-2"/>
          <w:w w:val="80"/>
        </w:rPr>
        <w:t>Engineering</w:t>
      </w:r>
      <w:r>
        <w:rPr>
          <w:spacing w:val="-8"/>
        </w:rPr>
        <w:t> </w:t>
      </w:r>
      <w:r>
        <w:rPr>
          <w:spacing w:val="-2"/>
          <w:w w:val="80"/>
        </w:rPr>
        <w:t>Academy</w:t>
      </w:r>
      <w:r>
        <w:rPr>
          <w:spacing w:val="-8"/>
        </w:rPr>
        <w:t> </w:t>
      </w:r>
      <w:r>
        <w:rPr>
          <w:spacing w:val="-2"/>
          <w:w w:val="80"/>
        </w:rPr>
        <w:t>(SEA)</w:t>
      </w:r>
    </w:p>
    <w:p>
      <w:pPr>
        <w:pStyle w:val="Heading2"/>
        <w:spacing w:before="156"/>
      </w:pPr>
      <w:r>
        <w:rPr>
          <w:spacing w:val="-2"/>
          <w:w w:val="85"/>
        </w:rPr>
        <w:t>Overview</w:t>
      </w:r>
    </w:p>
    <w:p>
      <w:pPr>
        <w:pStyle w:val="BodyText"/>
        <w:spacing w:line="259" w:lineRule="auto" w:before="178"/>
        <w:ind w:left="1545" w:right="277"/>
      </w:pPr>
      <w:r>
        <w:rPr/>
        <w:t>Shocker Engineering Academy (SEA) is a summer bridge program to help new underrepresented students transition into WSU and increase their academic success. Students can jump-start their education through a week engaged in academic enrichment sessions, hands-on activities and fun social events. For the hands-on activities, the SEA students collaborate with GoBabyGo to modify ride-on cars for young</w:t>
      </w:r>
      <w:r>
        <w:rPr>
          <w:spacing w:val="-3"/>
        </w:rPr>
        <w:t> </w:t>
      </w:r>
      <w:r>
        <w:rPr/>
        <w:t>children</w:t>
      </w:r>
      <w:r>
        <w:rPr>
          <w:spacing w:val="-3"/>
        </w:rPr>
        <w:t> </w:t>
      </w:r>
      <w:r>
        <w:rPr/>
        <w:t>with</w:t>
      </w:r>
      <w:r>
        <w:rPr>
          <w:spacing w:val="-3"/>
        </w:rPr>
        <w:t> </w:t>
      </w:r>
      <w:r>
        <w:rPr/>
        <w:t>mobility</w:t>
      </w:r>
      <w:r>
        <w:rPr>
          <w:spacing w:val="-3"/>
        </w:rPr>
        <w:t> </w:t>
      </w:r>
      <w:r>
        <w:rPr/>
        <w:t>issues</w:t>
      </w:r>
      <w:r>
        <w:rPr>
          <w:spacing w:val="-3"/>
        </w:rPr>
        <w:t> </w:t>
      </w:r>
      <w:r>
        <w:rPr/>
        <w:t>from</w:t>
      </w:r>
      <w:r>
        <w:rPr>
          <w:spacing w:val="-3"/>
        </w:rPr>
        <w:t> </w:t>
      </w:r>
      <w:r>
        <w:rPr/>
        <w:t>the</w:t>
      </w:r>
      <w:r>
        <w:rPr>
          <w:spacing w:val="-3"/>
        </w:rPr>
        <w:t> </w:t>
      </w:r>
      <w:r>
        <w:rPr/>
        <w:t>Wichita</w:t>
      </w:r>
      <w:r>
        <w:rPr>
          <w:spacing w:val="-3"/>
        </w:rPr>
        <w:t> </w:t>
      </w:r>
      <w:r>
        <w:rPr/>
        <w:t>community.</w:t>
      </w:r>
      <w:r>
        <w:rPr>
          <w:spacing w:val="-3"/>
        </w:rPr>
        <w:t> </w:t>
      </w:r>
      <w:r>
        <w:rPr/>
        <w:t>SEA</w:t>
      </w:r>
      <w:r>
        <w:rPr>
          <w:spacing w:val="-6"/>
        </w:rPr>
        <w:t> </w:t>
      </w:r>
      <w:r>
        <w:rPr/>
        <w:t>is</w:t>
      </w:r>
      <w:r>
        <w:rPr>
          <w:spacing w:val="-3"/>
        </w:rPr>
        <w:t> </w:t>
      </w:r>
      <w:r>
        <w:rPr/>
        <w:t>funded</w:t>
      </w:r>
      <w:r>
        <w:rPr>
          <w:spacing w:val="-3"/>
        </w:rPr>
        <w:t> </w:t>
      </w:r>
      <w:r>
        <w:rPr/>
        <w:t>by</w:t>
      </w:r>
      <w:r>
        <w:rPr>
          <w:spacing w:val="-3"/>
        </w:rPr>
        <w:t> </w:t>
      </w:r>
      <w:r>
        <w:rPr/>
        <w:t>the National Science Foundation (NSF) Kansas Louis Stokes Alliances for Minority Participation (KS-LSAMP).</w:t>
      </w:r>
    </w:p>
    <w:p>
      <w:pPr>
        <w:pStyle w:val="Heading2"/>
        <w:spacing w:before="132"/>
      </w:pPr>
      <w:r>
        <w:rPr>
          <w:w w:val="80"/>
        </w:rPr>
        <w:t>Summer</w:t>
      </w:r>
      <w:r>
        <w:rPr>
          <w:spacing w:val="-11"/>
        </w:rPr>
        <w:t> </w:t>
      </w:r>
      <w:r>
        <w:rPr>
          <w:w w:val="80"/>
        </w:rPr>
        <w:t>2022–Spring</w:t>
      </w:r>
      <w:r>
        <w:rPr>
          <w:spacing w:val="-9"/>
        </w:rPr>
        <w:t> </w:t>
      </w:r>
      <w:r>
        <w:rPr>
          <w:spacing w:val="-4"/>
          <w:w w:val="80"/>
        </w:rPr>
        <w:t>2023</w:t>
      </w:r>
    </w:p>
    <w:p>
      <w:pPr>
        <w:pStyle w:val="BodyText"/>
        <w:spacing w:line="259" w:lineRule="auto" w:before="207"/>
        <w:ind w:left="1545" w:right="277"/>
      </w:pPr>
      <w:r>
        <w:rPr/>
        <w:t>In</w:t>
      </w:r>
      <w:r>
        <w:rPr>
          <w:spacing w:val="-3"/>
        </w:rPr>
        <w:t> </w:t>
      </w:r>
      <w:r>
        <w:rPr/>
        <w:t>August</w:t>
      </w:r>
      <w:r>
        <w:rPr>
          <w:spacing w:val="-3"/>
        </w:rPr>
        <w:t> </w:t>
      </w:r>
      <w:r>
        <w:rPr/>
        <w:t>2022,</w:t>
      </w:r>
      <w:r>
        <w:rPr>
          <w:spacing w:val="-2"/>
        </w:rPr>
        <w:t> </w:t>
      </w:r>
      <w:r>
        <w:rPr/>
        <w:t>23</w:t>
      </w:r>
      <w:r>
        <w:rPr>
          <w:spacing w:val="-3"/>
        </w:rPr>
        <w:t> </w:t>
      </w:r>
      <w:r>
        <w:rPr/>
        <w:t>students</w:t>
      </w:r>
      <w:r>
        <w:rPr>
          <w:spacing w:val="-3"/>
        </w:rPr>
        <w:t> </w:t>
      </w:r>
      <w:r>
        <w:rPr/>
        <w:t>participated</w:t>
      </w:r>
      <w:r>
        <w:rPr>
          <w:spacing w:val="-3"/>
        </w:rPr>
        <w:t> </w:t>
      </w:r>
      <w:r>
        <w:rPr/>
        <w:t>in</w:t>
      </w:r>
      <w:r>
        <w:rPr>
          <w:spacing w:val="-3"/>
        </w:rPr>
        <w:t> </w:t>
      </w:r>
      <w:r>
        <w:rPr/>
        <w:t>SEA.</w:t>
      </w:r>
      <w:r>
        <w:rPr>
          <w:spacing w:val="-3"/>
        </w:rPr>
        <w:t> </w:t>
      </w:r>
      <w:r>
        <w:rPr/>
        <w:t>All</w:t>
      </w:r>
      <w:r>
        <w:rPr>
          <w:spacing w:val="-3"/>
        </w:rPr>
        <w:t> </w:t>
      </w:r>
      <w:r>
        <w:rPr/>
        <w:t>except</w:t>
      </w:r>
      <w:r>
        <w:rPr>
          <w:spacing w:val="-3"/>
        </w:rPr>
        <w:t> </w:t>
      </w:r>
      <w:r>
        <w:rPr/>
        <w:t>for</w:t>
      </w:r>
      <w:r>
        <w:rPr>
          <w:spacing w:val="-3"/>
        </w:rPr>
        <w:t> </w:t>
      </w:r>
      <w:r>
        <w:rPr/>
        <w:t>one</w:t>
      </w:r>
      <w:r>
        <w:rPr>
          <w:spacing w:val="-3"/>
        </w:rPr>
        <w:t> </w:t>
      </w:r>
      <w:r>
        <w:rPr/>
        <w:t>student</w:t>
      </w:r>
      <w:r>
        <w:rPr>
          <w:spacing w:val="-3"/>
        </w:rPr>
        <w:t> </w:t>
      </w:r>
      <w:r>
        <w:rPr/>
        <w:t>returned</w:t>
      </w:r>
      <w:r>
        <w:rPr>
          <w:spacing w:val="-3"/>
        </w:rPr>
        <w:t> </w:t>
      </w:r>
      <w:r>
        <w:rPr/>
        <w:t>to the College of Engineering in Spring 2023; that is 96% fall-to-spring persistence. The demographics of the participants are as follows:</w:t>
      </w:r>
    </w:p>
    <w:p>
      <w:pPr>
        <w:pStyle w:val="ListParagraph"/>
        <w:numPr>
          <w:ilvl w:val="0"/>
          <w:numId w:val="2"/>
        </w:numPr>
        <w:tabs>
          <w:tab w:pos="2265" w:val="left" w:leader="none"/>
        </w:tabs>
        <w:spacing w:line="240" w:lineRule="auto" w:before="151" w:after="0"/>
        <w:ind w:left="2265" w:right="0" w:hanging="360"/>
        <w:jc w:val="left"/>
        <w:rPr>
          <w:rFonts w:ascii="Symbol" w:hAnsi="Symbol"/>
          <w:sz w:val="28"/>
        </w:rPr>
      </w:pPr>
      <w:r>
        <w:rPr>
          <w:sz w:val="22"/>
        </w:rPr>
        <w:t>48%</w:t>
      </w:r>
      <w:r>
        <w:rPr>
          <w:spacing w:val="-3"/>
          <w:sz w:val="22"/>
        </w:rPr>
        <w:t> </w:t>
      </w:r>
      <w:r>
        <w:rPr>
          <w:spacing w:val="-2"/>
          <w:sz w:val="22"/>
        </w:rPr>
        <w:t>women</w:t>
      </w:r>
    </w:p>
    <w:p>
      <w:pPr>
        <w:pStyle w:val="ListParagraph"/>
        <w:numPr>
          <w:ilvl w:val="0"/>
          <w:numId w:val="2"/>
        </w:numPr>
        <w:tabs>
          <w:tab w:pos="2265" w:val="left" w:leader="none"/>
        </w:tabs>
        <w:spacing w:line="240" w:lineRule="auto" w:before="8" w:after="0"/>
        <w:ind w:left="2265" w:right="0" w:hanging="360"/>
        <w:jc w:val="left"/>
        <w:rPr>
          <w:rFonts w:ascii="Symbol" w:hAnsi="Symbol"/>
          <w:sz w:val="28"/>
        </w:rPr>
      </w:pPr>
      <w:r>
        <w:rPr>
          <w:sz w:val="22"/>
        </w:rPr>
        <w:t>74%</w:t>
      </w:r>
      <w:r>
        <w:rPr>
          <w:spacing w:val="-4"/>
          <w:sz w:val="22"/>
        </w:rPr>
        <w:t> </w:t>
      </w:r>
      <w:r>
        <w:rPr>
          <w:sz w:val="22"/>
        </w:rPr>
        <w:t>first</w:t>
      </w:r>
      <w:r>
        <w:rPr>
          <w:spacing w:val="-4"/>
          <w:sz w:val="22"/>
        </w:rPr>
        <w:t> </w:t>
      </w:r>
      <w:r>
        <w:rPr>
          <w:spacing w:val="-2"/>
          <w:sz w:val="22"/>
        </w:rPr>
        <w:t>generation</w:t>
      </w:r>
    </w:p>
    <w:p>
      <w:pPr>
        <w:pStyle w:val="ListParagraph"/>
        <w:numPr>
          <w:ilvl w:val="0"/>
          <w:numId w:val="2"/>
        </w:numPr>
        <w:tabs>
          <w:tab w:pos="2265" w:val="left" w:leader="none"/>
        </w:tabs>
        <w:spacing w:line="240" w:lineRule="auto" w:before="12" w:after="0"/>
        <w:ind w:left="2265" w:right="0" w:hanging="360"/>
        <w:jc w:val="left"/>
        <w:rPr>
          <w:rFonts w:ascii="Symbol" w:hAnsi="Symbol"/>
          <w:sz w:val="28"/>
        </w:rPr>
      </w:pPr>
      <w:r>
        <w:rPr>
          <w:sz w:val="22"/>
        </w:rPr>
        <w:t>60%</w:t>
      </w:r>
      <w:r>
        <w:rPr>
          <w:spacing w:val="-3"/>
          <w:sz w:val="22"/>
        </w:rPr>
        <w:t> </w:t>
      </w:r>
      <w:r>
        <w:rPr>
          <w:spacing w:val="-2"/>
          <w:sz w:val="22"/>
        </w:rPr>
        <w:t>Hispanic</w:t>
      </w:r>
    </w:p>
    <w:p>
      <w:pPr>
        <w:pStyle w:val="ListParagraph"/>
        <w:numPr>
          <w:ilvl w:val="0"/>
          <w:numId w:val="2"/>
        </w:numPr>
        <w:tabs>
          <w:tab w:pos="2265" w:val="left" w:leader="none"/>
        </w:tabs>
        <w:spacing w:line="240" w:lineRule="auto" w:before="8" w:after="0"/>
        <w:ind w:left="2265" w:right="0" w:hanging="360"/>
        <w:jc w:val="left"/>
        <w:rPr>
          <w:rFonts w:ascii="Symbol" w:hAnsi="Symbol"/>
          <w:sz w:val="28"/>
        </w:rPr>
      </w:pPr>
      <w:r>
        <w:rPr>
          <w:sz w:val="22"/>
        </w:rPr>
        <w:t>22%</w:t>
      </w:r>
      <w:r>
        <w:rPr>
          <w:spacing w:val="-3"/>
          <w:sz w:val="22"/>
        </w:rPr>
        <w:t> </w:t>
      </w:r>
      <w:r>
        <w:rPr>
          <w:spacing w:val="-4"/>
          <w:sz w:val="22"/>
        </w:rPr>
        <w:t>Black</w:t>
      </w:r>
    </w:p>
    <w:p>
      <w:pPr>
        <w:pStyle w:val="ListParagraph"/>
        <w:numPr>
          <w:ilvl w:val="0"/>
          <w:numId w:val="2"/>
        </w:numPr>
        <w:tabs>
          <w:tab w:pos="2265" w:val="left" w:leader="none"/>
        </w:tabs>
        <w:spacing w:line="240" w:lineRule="auto" w:before="12" w:after="0"/>
        <w:ind w:left="2265" w:right="0" w:hanging="360"/>
        <w:jc w:val="left"/>
        <w:rPr>
          <w:rFonts w:ascii="Symbol" w:hAnsi="Symbol"/>
          <w:sz w:val="28"/>
        </w:rPr>
      </w:pPr>
      <w:r>
        <w:rPr>
          <w:sz w:val="22"/>
        </w:rPr>
        <w:t>17%</w:t>
      </w:r>
      <w:r>
        <w:rPr>
          <w:spacing w:val="-5"/>
          <w:sz w:val="22"/>
        </w:rPr>
        <w:t> </w:t>
      </w:r>
      <w:r>
        <w:rPr>
          <w:sz w:val="22"/>
        </w:rPr>
        <w:t>Native</w:t>
      </w:r>
      <w:r>
        <w:rPr>
          <w:spacing w:val="-4"/>
          <w:sz w:val="22"/>
        </w:rPr>
        <w:t> </w:t>
      </w:r>
      <w:r>
        <w:rPr>
          <w:spacing w:val="-2"/>
          <w:sz w:val="22"/>
        </w:rPr>
        <w:t>American</w:t>
      </w:r>
    </w:p>
    <w:p>
      <w:pPr>
        <w:pStyle w:val="BodyText"/>
        <w:rPr>
          <w:sz w:val="34"/>
        </w:rPr>
      </w:pPr>
    </w:p>
    <w:p>
      <w:pPr>
        <w:pStyle w:val="Heading1"/>
        <w:spacing w:before="287"/>
      </w:pPr>
      <w:r>
        <w:rPr>
          <w:spacing w:val="-2"/>
          <w:w w:val="80"/>
        </w:rPr>
        <w:t>Introduce</w:t>
      </w:r>
      <w:r>
        <w:rPr>
          <w:spacing w:val="-10"/>
        </w:rPr>
        <w:t> </w:t>
      </w:r>
      <w:r>
        <w:rPr>
          <w:spacing w:val="-2"/>
          <w:w w:val="80"/>
        </w:rPr>
        <w:t>a</w:t>
      </w:r>
      <w:r>
        <w:rPr>
          <w:spacing w:val="-10"/>
        </w:rPr>
        <w:t> </w:t>
      </w:r>
      <w:r>
        <w:rPr>
          <w:spacing w:val="-2"/>
          <w:w w:val="80"/>
        </w:rPr>
        <w:t>Girl</w:t>
      </w:r>
      <w:r>
        <w:rPr>
          <w:spacing w:val="-10"/>
        </w:rPr>
        <w:t> </w:t>
      </w:r>
      <w:r>
        <w:rPr>
          <w:spacing w:val="-2"/>
          <w:w w:val="80"/>
        </w:rPr>
        <w:t>to</w:t>
      </w:r>
      <w:r>
        <w:rPr>
          <w:spacing w:val="-10"/>
        </w:rPr>
        <w:t> </w:t>
      </w:r>
      <w:r>
        <w:rPr>
          <w:spacing w:val="-2"/>
          <w:w w:val="80"/>
        </w:rPr>
        <w:t>Engineering</w:t>
      </w:r>
      <w:r>
        <w:rPr>
          <w:spacing w:val="-10"/>
        </w:rPr>
        <w:t> </w:t>
      </w:r>
      <w:r>
        <w:rPr>
          <w:spacing w:val="-2"/>
          <w:w w:val="80"/>
        </w:rPr>
        <w:t>Day</w:t>
      </w:r>
      <w:r>
        <w:rPr>
          <w:spacing w:val="-10"/>
        </w:rPr>
        <w:t> </w:t>
      </w:r>
      <w:r>
        <w:rPr>
          <w:spacing w:val="-2"/>
          <w:w w:val="80"/>
        </w:rPr>
        <w:t>(IGED)</w:t>
      </w:r>
    </w:p>
    <w:p>
      <w:pPr>
        <w:pStyle w:val="Heading2"/>
        <w:spacing w:before="156"/>
      </w:pPr>
      <w:r>
        <w:rPr>
          <w:spacing w:val="-2"/>
          <w:w w:val="85"/>
        </w:rPr>
        <w:t>Overview</w:t>
      </w:r>
    </w:p>
    <w:p>
      <w:pPr>
        <w:pStyle w:val="BodyText"/>
        <w:spacing w:line="259" w:lineRule="auto" w:before="178"/>
        <w:ind w:left="1545" w:right="277"/>
      </w:pPr>
      <w:r>
        <w:rPr/>
        <w:t>Introduce a Girl to Engineering Day (IGED) is a national outreach event that takes place during</w:t>
      </w:r>
      <w:r>
        <w:rPr>
          <w:spacing w:val="-3"/>
        </w:rPr>
        <w:t> </w:t>
      </w:r>
      <w:r>
        <w:rPr/>
        <w:t>National</w:t>
      </w:r>
      <w:r>
        <w:rPr>
          <w:spacing w:val="-3"/>
        </w:rPr>
        <w:t> </w:t>
      </w:r>
      <w:r>
        <w:rPr/>
        <w:t>Engineers</w:t>
      </w:r>
      <w:r>
        <w:rPr>
          <w:spacing w:val="-3"/>
        </w:rPr>
        <w:t> </w:t>
      </w:r>
      <w:r>
        <w:rPr/>
        <w:t>Week.</w:t>
      </w:r>
      <w:r>
        <w:rPr>
          <w:spacing w:val="-3"/>
        </w:rPr>
        <w:t> </w:t>
      </w:r>
      <w:r>
        <w:rPr/>
        <w:t>The</w:t>
      </w:r>
      <w:r>
        <w:rPr>
          <w:spacing w:val="-3"/>
        </w:rPr>
        <w:t> </w:t>
      </w:r>
      <w:r>
        <w:rPr/>
        <w:t>purpose</w:t>
      </w:r>
      <w:r>
        <w:rPr>
          <w:spacing w:val="-3"/>
        </w:rPr>
        <w:t> </w:t>
      </w:r>
      <w:r>
        <w:rPr/>
        <w:t>of</w:t>
      </w:r>
      <w:r>
        <w:rPr>
          <w:spacing w:val="-3"/>
        </w:rPr>
        <w:t> </w:t>
      </w:r>
      <w:r>
        <w:rPr/>
        <w:t>IGED</w:t>
      </w:r>
      <w:r>
        <w:rPr>
          <w:spacing w:val="-3"/>
        </w:rPr>
        <w:t> </w:t>
      </w:r>
      <w:r>
        <w:rPr/>
        <w:t>is</w:t>
      </w:r>
      <w:r>
        <w:rPr>
          <w:spacing w:val="-3"/>
        </w:rPr>
        <w:t> </w:t>
      </w:r>
      <w:r>
        <w:rPr/>
        <w:t>to</w:t>
      </w:r>
      <w:r>
        <w:rPr>
          <w:spacing w:val="-3"/>
        </w:rPr>
        <w:t> </w:t>
      </w:r>
      <w:r>
        <w:rPr/>
        <w:t>foster</w:t>
      </w:r>
      <w:r>
        <w:rPr>
          <w:spacing w:val="-3"/>
        </w:rPr>
        <w:t> </w:t>
      </w:r>
      <w:r>
        <w:rPr/>
        <w:t>a</w:t>
      </w:r>
      <w:r>
        <w:rPr>
          <w:spacing w:val="-3"/>
        </w:rPr>
        <w:t> </w:t>
      </w:r>
      <w:r>
        <w:rPr/>
        <w:t>positive</w:t>
      </w:r>
      <w:r>
        <w:rPr>
          <w:spacing w:val="-3"/>
        </w:rPr>
        <w:t> </w:t>
      </w:r>
      <w:r>
        <w:rPr/>
        <w:t>connection between young women and STEM. Professional and collegiate volunteers mentor high school students and participate in motivational presentations, STEM hands-on activities and a career fair. IGED inspires and empowers young women to believe engineering is a possible career path.</w:t>
      </w:r>
    </w:p>
    <w:p>
      <w:pPr>
        <w:spacing w:after="0" w:line="259" w:lineRule="auto"/>
        <w:sectPr>
          <w:pgSz w:w="12240" w:h="15840"/>
          <w:pgMar w:header="1464" w:footer="1245" w:top="2100" w:bottom="1440" w:left="1340" w:right="1220"/>
        </w:sectPr>
      </w:pPr>
    </w:p>
    <w:p>
      <w:pPr>
        <w:pStyle w:val="BodyText"/>
        <w:rPr>
          <w:sz w:val="20"/>
        </w:rPr>
      </w:pPr>
    </w:p>
    <w:p>
      <w:pPr>
        <w:pStyle w:val="BodyText"/>
        <w:rPr>
          <w:sz w:val="20"/>
        </w:rPr>
      </w:pPr>
    </w:p>
    <w:p>
      <w:pPr>
        <w:pStyle w:val="BodyText"/>
        <w:spacing w:before="8"/>
        <w:rPr>
          <w:sz w:val="13"/>
        </w:rPr>
      </w:pPr>
    </w:p>
    <w:p>
      <w:pPr>
        <w:spacing w:line="240" w:lineRule="auto"/>
        <w:ind w:left="1650" w:right="0" w:firstLine="0"/>
        <w:rPr>
          <w:sz w:val="20"/>
        </w:rPr>
      </w:pPr>
      <w:r>
        <w:rPr>
          <w:sz w:val="20"/>
        </w:rPr>
        <w:drawing>
          <wp:inline distT="0" distB="0" distL="0" distR="0">
            <wp:extent cx="2414015" cy="1609344"/>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2414015" cy="1609344"/>
                    </a:xfrm>
                    <a:prstGeom prst="rect">
                      <a:avLst/>
                    </a:prstGeom>
                  </pic:spPr>
                </pic:pic>
              </a:graphicData>
            </a:graphic>
          </wp:inline>
        </w:drawing>
      </w:r>
      <w:r>
        <w:rPr>
          <w:sz w:val="20"/>
        </w:rPr>
      </w:r>
      <w:r>
        <w:rPr>
          <w:rFonts w:ascii="Times New Roman"/>
          <w:spacing w:val="128"/>
          <w:sz w:val="20"/>
        </w:rPr>
        <w:t> </w:t>
      </w:r>
      <w:r>
        <w:rPr>
          <w:spacing w:val="128"/>
          <w:sz w:val="20"/>
        </w:rPr>
        <w:drawing>
          <wp:inline distT="0" distB="0" distL="0" distR="0">
            <wp:extent cx="2414014" cy="1609344"/>
            <wp:effectExtent l="0" t="0" r="0" b="0"/>
            <wp:docPr id="4" name="Image 4"/>
            <wp:cNvGraphicFramePr>
              <a:graphicFrameLocks/>
            </wp:cNvGraphicFramePr>
            <a:graphic>
              <a:graphicData uri="http://schemas.openxmlformats.org/drawingml/2006/picture">
                <pic:pic>
                  <pic:nvPicPr>
                    <pic:cNvPr id="4" name="Image 4"/>
                    <pic:cNvPicPr/>
                  </pic:nvPicPr>
                  <pic:blipFill>
                    <a:blip r:embed="rId8" cstate="print"/>
                    <a:stretch>
                      <a:fillRect/>
                    </a:stretch>
                  </pic:blipFill>
                  <pic:spPr>
                    <a:xfrm>
                      <a:off x="0" y="0"/>
                      <a:ext cx="2414014" cy="1609344"/>
                    </a:xfrm>
                    <a:prstGeom prst="rect">
                      <a:avLst/>
                    </a:prstGeom>
                  </pic:spPr>
                </pic:pic>
              </a:graphicData>
            </a:graphic>
          </wp:inline>
        </w:drawing>
      </w:r>
      <w:r>
        <w:rPr>
          <w:spacing w:val="128"/>
          <w:sz w:val="20"/>
        </w:rPr>
      </w:r>
    </w:p>
    <w:p>
      <w:pPr>
        <w:pStyle w:val="BodyText"/>
        <w:spacing w:before="3"/>
        <w:rPr>
          <w:sz w:val="12"/>
        </w:rPr>
      </w:pPr>
      <w:r>
        <w:rPr/>
        <w:drawing>
          <wp:anchor distT="0" distB="0" distL="0" distR="0" allowOverlap="1" layoutInCell="1" locked="0" behindDoc="1" simplePos="0" relativeHeight="487587840">
            <wp:simplePos x="0" y="0"/>
            <wp:positionH relativeFrom="page">
              <wp:posOffset>1894839</wp:posOffset>
            </wp:positionH>
            <wp:positionV relativeFrom="paragraph">
              <wp:posOffset>108967</wp:posOffset>
            </wp:positionV>
            <wp:extent cx="4885088" cy="2391918"/>
            <wp:effectExtent l="0" t="0" r="0" b="0"/>
            <wp:wrapTopAndBottom/>
            <wp:docPr id="5" name="Image 5"/>
            <wp:cNvGraphicFramePr>
              <a:graphicFrameLocks/>
            </wp:cNvGraphicFramePr>
            <a:graphic>
              <a:graphicData uri="http://schemas.openxmlformats.org/drawingml/2006/picture">
                <pic:pic>
                  <pic:nvPicPr>
                    <pic:cNvPr id="5" name="Image 5"/>
                    <pic:cNvPicPr/>
                  </pic:nvPicPr>
                  <pic:blipFill>
                    <a:blip r:embed="rId9" cstate="print"/>
                    <a:stretch>
                      <a:fillRect/>
                    </a:stretch>
                  </pic:blipFill>
                  <pic:spPr>
                    <a:xfrm>
                      <a:off x="0" y="0"/>
                      <a:ext cx="4885088" cy="2391918"/>
                    </a:xfrm>
                    <a:prstGeom prst="rect">
                      <a:avLst/>
                    </a:prstGeom>
                  </pic:spPr>
                </pic:pic>
              </a:graphicData>
            </a:graphic>
          </wp:anchor>
        </w:drawing>
      </w:r>
    </w:p>
    <w:p>
      <w:pPr>
        <w:pStyle w:val="BodyText"/>
        <w:spacing w:before="2"/>
        <w:rPr>
          <w:sz w:val="7"/>
        </w:rPr>
      </w:pPr>
    </w:p>
    <w:p>
      <w:pPr>
        <w:pStyle w:val="Heading2"/>
      </w:pPr>
      <w:r>
        <w:rPr>
          <w:w w:val="80"/>
        </w:rPr>
        <w:t>2023</w:t>
      </w:r>
      <w:r>
        <w:rPr>
          <w:spacing w:val="-5"/>
        </w:rPr>
        <w:t> </w:t>
      </w:r>
      <w:r>
        <w:rPr>
          <w:spacing w:val="-2"/>
          <w:w w:val="90"/>
        </w:rPr>
        <w:t>Event</w:t>
      </w:r>
    </w:p>
    <w:p>
      <w:pPr>
        <w:pStyle w:val="BodyText"/>
        <w:spacing w:before="207"/>
        <w:ind w:left="1545" w:right="207"/>
      </w:pPr>
      <w:r>
        <w:rPr/>
        <w:t>For</w:t>
      </w:r>
      <w:r>
        <w:rPr>
          <w:spacing w:val="-4"/>
        </w:rPr>
        <w:t> </w:t>
      </w:r>
      <w:r>
        <w:rPr/>
        <w:t>the</w:t>
      </w:r>
      <w:r>
        <w:rPr>
          <w:spacing w:val="-4"/>
        </w:rPr>
        <w:t> </w:t>
      </w:r>
      <w:r>
        <w:rPr/>
        <w:t>inaugural</w:t>
      </w:r>
      <w:r>
        <w:rPr>
          <w:spacing w:val="-4"/>
        </w:rPr>
        <w:t> </w:t>
      </w:r>
      <w:r>
        <w:rPr/>
        <w:t>2023</w:t>
      </w:r>
      <w:r>
        <w:rPr>
          <w:spacing w:val="-4"/>
        </w:rPr>
        <w:t> </w:t>
      </w:r>
      <w:r>
        <w:rPr/>
        <w:t>year,</w:t>
      </w:r>
      <w:r>
        <w:rPr>
          <w:spacing w:val="-4"/>
        </w:rPr>
        <w:t> </w:t>
      </w:r>
      <w:r>
        <w:rPr/>
        <w:t>the</w:t>
      </w:r>
      <w:r>
        <w:rPr>
          <w:spacing w:val="-4"/>
        </w:rPr>
        <w:t> </w:t>
      </w:r>
      <w:r>
        <w:rPr/>
        <w:t>College</w:t>
      </w:r>
      <w:r>
        <w:rPr>
          <w:spacing w:val="-4"/>
        </w:rPr>
        <w:t> </w:t>
      </w:r>
      <w:r>
        <w:rPr/>
        <w:t>of</w:t>
      </w:r>
      <w:r>
        <w:rPr>
          <w:spacing w:val="-4"/>
        </w:rPr>
        <w:t> </w:t>
      </w:r>
      <w:r>
        <w:rPr/>
        <w:t>Engineering</w:t>
      </w:r>
      <w:r>
        <w:rPr>
          <w:spacing w:val="-4"/>
        </w:rPr>
        <w:t> </w:t>
      </w:r>
      <w:r>
        <w:rPr/>
        <w:t>collaborated</w:t>
      </w:r>
      <w:r>
        <w:rPr>
          <w:spacing w:val="-4"/>
        </w:rPr>
        <w:t> </w:t>
      </w:r>
      <w:r>
        <w:rPr/>
        <w:t>with</w:t>
      </w:r>
      <w:r>
        <w:rPr>
          <w:spacing w:val="-4"/>
        </w:rPr>
        <w:t> </w:t>
      </w:r>
      <w:r>
        <w:rPr/>
        <w:t>Wichita</w:t>
      </w:r>
      <w:r>
        <w:rPr>
          <w:spacing w:val="-4"/>
        </w:rPr>
        <w:t> </w:t>
      </w:r>
      <w:r>
        <w:rPr/>
        <w:t>Public High Schools and about 110 high school students attended the day-long event. The students were mentored by 75 professional and collegiate women in different engineering</w:t>
      </w:r>
      <w:r>
        <w:rPr>
          <w:spacing w:val="-1"/>
        </w:rPr>
        <w:t> </w:t>
      </w:r>
      <w:r>
        <w:rPr/>
        <w:t>and</w:t>
      </w:r>
      <w:r>
        <w:rPr>
          <w:spacing w:val="-1"/>
        </w:rPr>
        <w:t> </w:t>
      </w:r>
      <w:r>
        <w:rPr/>
        <w:t>computing</w:t>
      </w:r>
      <w:r>
        <w:rPr>
          <w:spacing w:val="-1"/>
        </w:rPr>
        <w:t> </w:t>
      </w:r>
      <w:r>
        <w:rPr/>
        <w:t>fields</w:t>
      </w:r>
      <w:r>
        <w:rPr>
          <w:spacing w:val="-1"/>
        </w:rPr>
        <w:t> </w:t>
      </w:r>
      <w:r>
        <w:rPr/>
        <w:t>who</w:t>
      </w:r>
      <w:r>
        <w:rPr>
          <w:spacing w:val="-1"/>
        </w:rPr>
        <w:t> </w:t>
      </w:r>
      <w:r>
        <w:rPr/>
        <w:t>volunteered</w:t>
      </w:r>
      <w:r>
        <w:rPr>
          <w:spacing w:val="-1"/>
        </w:rPr>
        <w:t> </w:t>
      </w:r>
      <w:r>
        <w:rPr/>
        <w:t>their</w:t>
      </w:r>
      <w:r>
        <w:rPr>
          <w:spacing w:val="-1"/>
        </w:rPr>
        <w:t> </w:t>
      </w:r>
      <w:r>
        <w:rPr/>
        <w:t>time.</w:t>
      </w:r>
      <w:r>
        <w:rPr>
          <w:spacing w:val="-1"/>
        </w:rPr>
        <w:t> </w:t>
      </w:r>
      <w:r>
        <w:rPr/>
        <w:t>The</w:t>
      </w:r>
      <w:r>
        <w:rPr>
          <w:spacing w:val="-1"/>
        </w:rPr>
        <w:t> </w:t>
      </w:r>
      <w:r>
        <w:rPr/>
        <w:t>demographics</w:t>
      </w:r>
      <w:r>
        <w:rPr>
          <w:spacing w:val="-1"/>
        </w:rPr>
        <w:t> </w:t>
      </w:r>
      <w:r>
        <w:rPr/>
        <w:t>of</w:t>
      </w:r>
      <w:r>
        <w:rPr>
          <w:spacing w:val="-1"/>
        </w:rPr>
        <w:t> </w:t>
      </w:r>
      <w:r>
        <w:rPr/>
        <w:t>the students who registered are:</w:t>
      </w:r>
    </w:p>
    <w:p>
      <w:pPr>
        <w:pStyle w:val="ListParagraph"/>
        <w:numPr>
          <w:ilvl w:val="0"/>
          <w:numId w:val="2"/>
        </w:numPr>
        <w:tabs>
          <w:tab w:pos="2265" w:val="left" w:leader="none"/>
        </w:tabs>
        <w:spacing w:line="283" w:lineRule="exact" w:before="149" w:after="0"/>
        <w:ind w:left="2265" w:right="0" w:hanging="360"/>
        <w:jc w:val="left"/>
        <w:rPr>
          <w:rFonts w:ascii="Symbol" w:hAnsi="Symbol"/>
          <w:sz w:val="22"/>
        </w:rPr>
      </w:pPr>
      <w:r>
        <w:rPr>
          <w:sz w:val="22"/>
        </w:rPr>
        <w:t>39%</w:t>
      </w:r>
      <w:r>
        <w:rPr>
          <w:spacing w:val="-3"/>
          <w:sz w:val="22"/>
        </w:rPr>
        <w:t> </w:t>
      </w:r>
      <w:r>
        <w:rPr>
          <w:spacing w:val="-2"/>
          <w:sz w:val="22"/>
        </w:rPr>
        <w:t>Hispanic</w:t>
      </w:r>
    </w:p>
    <w:p>
      <w:pPr>
        <w:pStyle w:val="ListParagraph"/>
        <w:numPr>
          <w:ilvl w:val="0"/>
          <w:numId w:val="2"/>
        </w:numPr>
        <w:tabs>
          <w:tab w:pos="2265" w:val="left" w:leader="none"/>
        </w:tabs>
        <w:spacing w:line="276" w:lineRule="exact" w:before="0" w:after="0"/>
        <w:ind w:left="2265" w:right="0" w:hanging="360"/>
        <w:jc w:val="left"/>
        <w:rPr>
          <w:rFonts w:ascii="Symbol" w:hAnsi="Symbol"/>
          <w:sz w:val="22"/>
        </w:rPr>
      </w:pPr>
      <w:r>
        <w:rPr>
          <w:sz w:val="22"/>
        </w:rPr>
        <w:t>24%</w:t>
      </w:r>
      <w:r>
        <w:rPr>
          <w:spacing w:val="-3"/>
          <w:sz w:val="22"/>
        </w:rPr>
        <w:t> </w:t>
      </w:r>
      <w:r>
        <w:rPr>
          <w:spacing w:val="-4"/>
          <w:sz w:val="22"/>
        </w:rPr>
        <w:t>White</w:t>
      </w:r>
    </w:p>
    <w:p>
      <w:pPr>
        <w:pStyle w:val="ListParagraph"/>
        <w:numPr>
          <w:ilvl w:val="0"/>
          <w:numId w:val="2"/>
        </w:numPr>
        <w:tabs>
          <w:tab w:pos="2265" w:val="left" w:leader="none"/>
        </w:tabs>
        <w:spacing w:line="276" w:lineRule="exact" w:before="0" w:after="0"/>
        <w:ind w:left="2265" w:right="0" w:hanging="360"/>
        <w:jc w:val="left"/>
        <w:rPr>
          <w:rFonts w:ascii="Symbol" w:hAnsi="Symbol"/>
          <w:sz w:val="22"/>
        </w:rPr>
      </w:pPr>
      <w:r>
        <w:rPr>
          <w:sz w:val="22"/>
        </w:rPr>
        <w:t>21%</w:t>
      </w:r>
      <w:r>
        <w:rPr>
          <w:spacing w:val="-3"/>
          <w:sz w:val="22"/>
        </w:rPr>
        <w:t> </w:t>
      </w:r>
      <w:r>
        <w:rPr>
          <w:spacing w:val="-4"/>
          <w:sz w:val="22"/>
        </w:rPr>
        <w:t>Black</w:t>
      </w:r>
    </w:p>
    <w:p>
      <w:pPr>
        <w:pStyle w:val="ListParagraph"/>
        <w:numPr>
          <w:ilvl w:val="0"/>
          <w:numId w:val="2"/>
        </w:numPr>
        <w:tabs>
          <w:tab w:pos="2265" w:val="left" w:leader="none"/>
        </w:tabs>
        <w:spacing w:line="276" w:lineRule="exact" w:before="0" w:after="0"/>
        <w:ind w:left="2265" w:right="0" w:hanging="360"/>
        <w:jc w:val="left"/>
        <w:rPr>
          <w:rFonts w:ascii="Symbol" w:hAnsi="Symbol"/>
          <w:sz w:val="22"/>
        </w:rPr>
      </w:pPr>
      <w:r>
        <w:rPr>
          <w:sz w:val="22"/>
        </w:rPr>
        <w:t>12%</w:t>
      </w:r>
      <w:r>
        <w:rPr>
          <w:spacing w:val="-3"/>
          <w:sz w:val="22"/>
        </w:rPr>
        <w:t> </w:t>
      </w:r>
      <w:r>
        <w:rPr>
          <w:spacing w:val="-2"/>
          <w:sz w:val="22"/>
        </w:rPr>
        <w:t>Asian</w:t>
      </w:r>
    </w:p>
    <w:p>
      <w:pPr>
        <w:pStyle w:val="ListParagraph"/>
        <w:numPr>
          <w:ilvl w:val="0"/>
          <w:numId w:val="2"/>
        </w:numPr>
        <w:tabs>
          <w:tab w:pos="2265" w:val="left" w:leader="none"/>
        </w:tabs>
        <w:spacing w:line="276" w:lineRule="exact" w:before="0" w:after="0"/>
        <w:ind w:left="2265" w:right="0" w:hanging="360"/>
        <w:jc w:val="left"/>
        <w:rPr>
          <w:rFonts w:ascii="Symbol" w:hAnsi="Symbol"/>
          <w:sz w:val="22"/>
        </w:rPr>
      </w:pPr>
      <w:r>
        <w:rPr>
          <w:sz w:val="22"/>
        </w:rPr>
        <w:t>3%</w:t>
      </w:r>
      <w:r>
        <w:rPr>
          <w:spacing w:val="-4"/>
          <w:sz w:val="22"/>
        </w:rPr>
        <w:t> </w:t>
      </w:r>
      <w:r>
        <w:rPr>
          <w:sz w:val="22"/>
        </w:rPr>
        <w:t>Native</w:t>
      </w:r>
      <w:r>
        <w:rPr>
          <w:spacing w:val="-4"/>
          <w:sz w:val="22"/>
        </w:rPr>
        <w:t> </w:t>
      </w:r>
      <w:r>
        <w:rPr>
          <w:spacing w:val="-2"/>
          <w:sz w:val="22"/>
        </w:rPr>
        <w:t>American</w:t>
      </w:r>
    </w:p>
    <w:p>
      <w:pPr>
        <w:pStyle w:val="ListParagraph"/>
        <w:numPr>
          <w:ilvl w:val="0"/>
          <w:numId w:val="2"/>
        </w:numPr>
        <w:tabs>
          <w:tab w:pos="2265" w:val="left" w:leader="none"/>
        </w:tabs>
        <w:spacing w:line="283" w:lineRule="exact" w:before="0" w:after="0"/>
        <w:ind w:left="2265" w:right="0" w:hanging="360"/>
        <w:jc w:val="left"/>
        <w:rPr>
          <w:rFonts w:ascii="Symbol" w:hAnsi="Symbol"/>
          <w:sz w:val="22"/>
        </w:rPr>
      </w:pPr>
      <w:r>
        <w:rPr>
          <w:sz w:val="22"/>
        </w:rPr>
        <w:t>1%</w:t>
      </w:r>
      <w:r>
        <w:rPr>
          <w:spacing w:val="-3"/>
          <w:sz w:val="22"/>
        </w:rPr>
        <w:t> </w:t>
      </w:r>
      <w:r>
        <w:rPr>
          <w:sz w:val="22"/>
        </w:rPr>
        <w:t>Not</w:t>
      </w:r>
      <w:r>
        <w:rPr>
          <w:spacing w:val="-2"/>
          <w:sz w:val="22"/>
        </w:rPr>
        <w:t> reported</w:t>
      </w:r>
    </w:p>
    <w:p>
      <w:pPr>
        <w:pStyle w:val="BodyText"/>
        <w:spacing w:before="159"/>
        <w:ind w:left="1545"/>
      </w:pPr>
      <w:r>
        <w:rPr/>
        <w:t>From</w:t>
      </w:r>
      <w:r>
        <w:rPr>
          <w:spacing w:val="-3"/>
        </w:rPr>
        <w:t> </w:t>
      </w:r>
      <w:r>
        <w:rPr/>
        <w:t>the</w:t>
      </w:r>
      <w:r>
        <w:rPr>
          <w:spacing w:val="-3"/>
        </w:rPr>
        <w:t> </w:t>
      </w:r>
      <w:r>
        <w:rPr/>
        <w:t>post-event</w:t>
      </w:r>
      <w:r>
        <w:rPr>
          <w:spacing w:val="-3"/>
        </w:rPr>
        <w:t> </w:t>
      </w:r>
      <w:r>
        <w:rPr/>
        <w:t>surveys,</w:t>
      </w:r>
      <w:r>
        <w:rPr>
          <w:spacing w:val="-3"/>
        </w:rPr>
        <w:t> </w:t>
      </w:r>
      <w:r>
        <w:rPr/>
        <w:t>88%</w:t>
      </w:r>
      <w:r>
        <w:rPr>
          <w:spacing w:val="-3"/>
        </w:rPr>
        <w:t> </w:t>
      </w:r>
      <w:r>
        <w:rPr/>
        <w:t>of</w:t>
      </w:r>
      <w:r>
        <w:rPr>
          <w:spacing w:val="-3"/>
        </w:rPr>
        <w:t> </w:t>
      </w:r>
      <w:r>
        <w:rPr/>
        <w:t>students</w:t>
      </w:r>
      <w:r>
        <w:rPr>
          <w:spacing w:val="-3"/>
        </w:rPr>
        <w:t> </w:t>
      </w:r>
      <w:r>
        <w:rPr/>
        <w:t>agreed</w:t>
      </w:r>
      <w:r>
        <w:rPr>
          <w:spacing w:val="-3"/>
        </w:rPr>
        <w:t> </w:t>
      </w:r>
      <w:r>
        <w:rPr/>
        <w:t>or</w:t>
      </w:r>
      <w:r>
        <w:rPr>
          <w:spacing w:val="-3"/>
        </w:rPr>
        <w:t> </w:t>
      </w:r>
      <w:r>
        <w:rPr/>
        <w:t>strongly</w:t>
      </w:r>
      <w:r>
        <w:rPr>
          <w:spacing w:val="-3"/>
        </w:rPr>
        <w:t> </w:t>
      </w:r>
      <w:r>
        <w:rPr/>
        <w:t>agreed</w:t>
      </w:r>
      <w:r>
        <w:rPr>
          <w:spacing w:val="-3"/>
        </w:rPr>
        <w:t> </w:t>
      </w:r>
      <w:r>
        <w:rPr/>
        <w:t>that</w:t>
      </w:r>
      <w:r>
        <w:rPr>
          <w:spacing w:val="-3"/>
        </w:rPr>
        <w:t> </w:t>
      </w:r>
      <w:r>
        <w:rPr/>
        <w:t>they</w:t>
      </w:r>
      <w:r>
        <w:rPr>
          <w:spacing w:val="-3"/>
        </w:rPr>
        <w:t> </w:t>
      </w:r>
      <w:r>
        <w:rPr/>
        <w:t>will pursue a degree in engineering or computing. The students indicated that the most impactful elements of IGED were mentorship, hands-on activities and alumni</w:t>
      </w:r>
    </w:p>
    <w:p>
      <w:pPr>
        <w:spacing w:after="0"/>
        <w:sectPr>
          <w:pgSz w:w="12240" w:h="15840"/>
          <w:pgMar w:header="1464" w:footer="1245" w:top="2100" w:bottom="1440" w:left="1340" w:right="1220"/>
        </w:sectPr>
      </w:pPr>
    </w:p>
    <w:p>
      <w:pPr>
        <w:pStyle w:val="BodyText"/>
        <w:rPr>
          <w:sz w:val="20"/>
        </w:rPr>
      </w:pPr>
    </w:p>
    <w:p>
      <w:pPr>
        <w:pStyle w:val="BodyText"/>
        <w:spacing w:before="3"/>
        <w:rPr>
          <w:sz w:val="23"/>
        </w:rPr>
      </w:pPr>
    </w:p>
    <w:p>
      <w:pPr>
        <w:pStyle w:val="BodyText"/>
        <w:spacing w:before="120"/>
        <w:ind w:left="1545" w:right="211"/>
      </w:pPr>
      <w:r>
        <w:rPr/>
        <w:t>motivational</w:t>
      </w:r>
      <w:r>
        <w:rPr>
          <w:spacing w:val="-5"/>
        </w:rPr>
        <w:t> </w:t>
      </w:r>
      <w:r>
        <w:rPr/>
        <w:t>presentations.</w:t>
      </w:r>
      <w:r>
        <w:rPr>
          <w:spacing w:val="-5"/>
        </w:rPr>
        <w:t> </w:t>
      </w:r>
      <w:r>
        <w:rPr/>
        <w:t>Overall,</w:t>
      </w:r>
      <w:r>
        <w:rPr>
          <w:spacing w:val="-5"/>
        </w:rPr>
        <w:t> </w:t>
      </w:r>
      <w:r>
        <w:rPr/>
        <w:t>97%</w:t>
      </w:r>
      <w:r>
        <w:rPr>
          <w:spacing w:val="-5"/>
        </w:rPr>
        <w:t> </w:t>
      </w:r>
      <w:r>
        <w:rPr/>
        <w:t>of</w:t>
      </w:r>
      <w:r>
        <w:rPr>
          <w:spacing w:val="-5"/>
        </w:rPr>
        <w:t> </w:t>
      </w:r>
      <w:r>
        <w:rPr/>
        <w:t>all</w:t>
      </w:r>
      <w:r>
        <w:rPr>
          <w:spacing w:val="-5"/>
        </w:rPr>
        <w:t> </w:t>
      </w:r>
      <w:r>
        <w:rPr/>
        <w:t>attendees</w:t>
      </w:r>
      <w:r>
        <w:rPr>
          <w:spacing w:val="-5"/>
        </w:rPr>
        <w:t> </w:t>
      </w:r>
      <w:r>
        <w:rPr/>
        <w:t>reported</w:t>
      </w:r>
      <w:r>
        <w:rPr>
          <w:spacing w:val="-4"/>
        </w:rPr>
        <w:t> </w:t>
      </w:r>
      <w:r>
        <w:rPr/>
        <w:t>having</w:t>
      </w:r>
      <w:r>
        <w:rPr>
          <w:spacing w:val="-5"/>
        </w:rPr>
        <w:t> </w:t>
      </w:r>
      <w:r>
        <w:rPr/>
        <w:t>benefited from attending the inaugural WSU IGED 2023.</w:t>
      </w:r>
    </w:p>
    <w:p>
      <w:pPr>
        <w:pStyle w:val="BodyText"/>
        <w:rPr>
          <w:sz w:val="26"/>
        </w:rPr>
      </w:pPr>
    </w:p>
    <w:p>
      <w:pPr>
        <w:pStyle w:val="BodyText"/>
        <w:spacing w:before="3"/>
        <w:rPr>
          <w:sz w:val="30"/>
        </w:rPr>
      </w:pPr>
    </w:p>
    <w:p>
      <w:pPr>
        <w:pStyle w:val="Heading1"/>
        <w:spacing w:before="1"/>
      </w:pPr>
      <w:r>
        <w:rPr>
          <w:w w:val="80"/>
        </w:rPr>
        <w:t>Spirit</w:t>
      </w:r>
      <w:r>
        <w:rPr>
          <w:spacing w:val="-7"/>
        </w:rPr>
        <w:t> </w:t>
      </w:r>
      <w:r>
        <w:rPr>
          <w:w w:val="80"/>
        </w:rPr>
        <w:t>Strong</w:t>
      </w:r>
      <w:r>
        <w:rPr>
          <w:spacing w:val="-8"/>
        </w:rPr>
        <w:t> </w:t>
      </w:r>
      <w:r>
        <w:rPr>
          <w:w w:val="80"/>
        </w:rPr>
        <w:t>Scholars</w:t>
      </w:r>
      <w:r>
        <w:rPr>
          <w:spacing w:val="-8"/>
        </w:rPr>
        <w:t> </w:t>
      </w:r>
      <w:r>
        <w:rPr>
          <w:spacing w:val="-2"/>
          <w:w w:val="80"/>
        </w:rPr>
        <w:t>Program</w:t>
      </w:r>
    </w:p>
    <w:p>
      <w:pPr>
        <w:pStyle w:val="Heading2"/>
        <w:spacing w:before="156"/>
      </w:pPr>
      <w:r>
        <w:rPr>
          <w:spacing w:val="-2"/>
          <w:w w:val="85"/>
        </w:rPr>
        <w:t>Overview</w:t>
      </w:r>
    </w:p>
    <w:p>
      <w:pPr>
        <w:pStyle w:val="BodyText"/>
        <w:spacing w:line="259" w:lineRule="auto" w:before="178"/>
        <w:ind w:left="1545" w:right="207"/>
      </w:pPr>
      <w:r>
        <w:rPr/>
        <w:t>The Spirit Strong First-Generation Scholar Program is a first-year success program for incoming first-time College of Engineering freshmen who are first-generation college students with financial need. The program lasts for a full academic year and includes peer</w:t>
      </w:r>
      <w:r>
        <w:rPr>
          <w:spacing w:val="-5"/>
        </w:rPr>
        <w:t> </w:t>
      </w:r>
      <w:r>
        <w:rPr/>
        <w:t>and</w:t>
      </w:r>
      <w:r>
        <w:rPr>
          <w:spacing w:val="-5"/>
        </w:rPr>
        <w:t> </w:t>
      </w:r>
      <w:r>
        <w:rPr/>
        <w:t>professional</w:t>
      </w:r>
      <w:r>
        <w:rPr>
          <w:spacing w:val="-5"/>
        </w:rPr>
        <w:t> </w:t>
      </w:r>
      <w:r>
        <w:rPr/>
        <w:t>mentorship,</w:t>
      </w:r>
      <w:r>
        <w:rPr>
          <w:spacing w:val="-5"/>
        </w:rPr>
        <w:t> </w:t>
      </w:r>
      <w:r>
        <w:rPr/>
        <w:t>academic</w:t>
      </w:r>
      <w:r>
        <w:rPr>
          <w:spacing w:val="-5"/>
        </w:rPr>
        <w:t> </w:t>
      </w:r>
      <w:r>
        <w:rPr/>
        <w:t>and</w:t>
      </w:r>
      <w:r>
        <w:rPr>
          <w:spacing w:val="-5"/>
        </w:rPr>
        <w:t> </w:t>
      </w:r>
      <w:r>
        <w:rPr/>
        <w:t>professional</w:t>
      </w:r>
      <w:r>
        <w:rPr>
          <w:spacing w:val="-5"/>
        </w:rPr>
        <w:t> </w:t>
      </w:r>
      <w:r>
        <w:rPr/>
        <w:t>development</w:t>
      </w:r>
      <w:r>
        <w:rPr>
          <w:spacing w:val="-5"/>
        </w:rPr>
        <w:t> </w:t>
      </w:r>
      <w:r>
        <w:rPr/>
        <w:t>workshops, tutoring, social engagement and financial assistance. Students who complete the program are guaranteed an internship interview with Spirit AeroSystems in the fall of their</w:t>
      </w:r>
      <w:r>
        <w:rPr>
          <w:spacing w:val="-1"/>
        </w:rPr>
        <w:t> </w:t>
      </w:r>
      <w:r>
        <w:rPr/>
        <w:t>sophomore</w:t>
      </w:r>
      <w:r>
        <w:rPr>
          <w:spacing w:val="-1"/>
        </w:rPr>
        <w:t> </w:t>
      </w:r>
      <w:r>
        <w:rPr/>
        <w:t>year</w:t>
      </w:r>
      <w:r>
        <w:rPr>
          <w:spacing w:val="-1"/>
        </w:rPr>
        <w:t> </w:t>
      </w:r>
      <w:r>
        <w:rPr/>
        <w:t>and</w:t>
      </w:r>
      <w:r>
        <w:rPr>
          <w:spacing w:val="-1"/>
        </w:rPr>
        <w:t> </w:t>
      </w:r>
      <w:r>
        <w:rPr/>
        <w:t>are</w:t>
      </w:r>
      <w:r>
        <w:rPr>
          <w:spacing w:val="-1"/>
        </w:rPr>
        <w:t> </w:t>
      </w:r>
      <w:r>
        <w:rPr/>
        <w:t>also</w:t>
      </w:r>
      <w:r>
        <w:rPr>
          <w:spacing w:val="-1"/>
        </w:rPr>
        <w:t> </w:t>
      </w:r>
      <w:r>
        <w:rPr/>
        <w:t>encouraged</w:t>
      </w:r>
      <w:r>
        <w:rPr>
          <w:spacing w:val="-1"/>
        </w:rPr>
        <w:t> </w:t>
      </w:r>
      <w:r>
        <w:rPr/>
        <w:t>to</w:t>
      </w:r>
      <w:r>
        <w:rPr>
          <w:spacing w:val="-1"/>
        </w:rPr>
        <w:t> </w:t>
      </w:r>
      <w:r>
        <w:rPr/>
        <w:t>become</w:t>
      </w:r>
      <w:r>
        <w:rPr>
          <w:spacing w:val="-1"/>
        </w:rPr>
        <w:t> </w:t>
      </w:r>
      <w:r>
        <w:rPr/>
        <w:t>peer</w:t>
      </w:r>
      <w:r>
        <w:rPr>
          <w:spacing w:val="-1"/>
        </w:rPr>
        <w:t> </w:t>
      </w:r>
      <w:r>
        <w:rPr/>
        <w:t>mentors</w:t>
      </w:r>
      <w:r>
        <w:rPr>
          <w:spacing w:val="-1"/>
        </w:rPr>
        <w:t> </w:t>
      </w:r>
      <w:r>
        <w:rPr/>
        <w:t>in</w:t>
      </w:r>
      <w:r>
        <w:rPr>
          <w:spacing w:val="-1"/>
        </w:rPr>
        <w:t> </w:t>
      </w:r>
      <w:r>
        <w:rPr/>
        <w:t>the</w:t>
      </w:r>
      <w:r>
        <w:rPr>
          <w:spacing w:val="-1"/>
        </w:rPr>
        <w:t> </w:t>
      </w:r>
      <w:r>
        <w:rPr/>
        <w:t>program.</w:t>
      </w:r>
    </w:p>
    <w:p>
      <w:pPr>
        <w:pStyle w:val="BodyText"/>
        <w:spacing w:before="9"/>
        <w:rPr>
          <w:sz w:val="11"/>
        </w:rPr>
      </w:pPr>
      <w:r>
        <w:rPr/>
        <w:drawing>
          <wp:anchor distT="0" distB="0" distL="0" distR="0" allowOverlap="1" layoutInCell="1" locked="0" behindDoc="1" simplePos="0" relativeHeight="487588352">
            <wp:simplePos x="0" y="0"/>
            <wp:positionH relativeFrom="page">
              <wp:posOffset>1844039</wp:posOffset>
            </wp:positionH>
            <wp:positionV relativeFrom="paragraph">
              <wp:posOffset>105068</wp:posOffset>
            </wp:positionV>
            <wp:extent cx="5039307" cy="1982342"/>
            <wp:effectExtent l="0" t="0" r="0" b="0"/>
            <wp:wrapTopAndBottom/>
            <wp:docPr id="6" name="Image 6"/>
            <wp:cNvGraphicFramePr>
              <a:graphicFrameLocks/>
            </wp:cNvGraphicFramePr>
            <a:graphic>
              <a:graphicData uri="http://schemas.openxmlformats.org/drawingml/2006/picture">
                <pic:pic>
                  <pic:nvPicPr>
                    <pic:cNvPr id="6" name="Image 6"/>
                    <pic:cNvPicPr/>
                  </pic:nvPicPr>
                  <pic:blipFill>
                    <a:blip r:embed="rId10" cstate="print"/>
                    <a:stretch>
                      <a:fillRect/>
                    </a:stretch>
                  </pic:blipFill>
                  <pic:spPr>
                    <a:xfrm>
                      <a:off x="0" y="0"/>
                      <a:ext cx="5039307" cy="1982342"/>
                    </a:xfrm>
                    <a:prstGeom prst="rect">
                      <a:avLst/>
                    </a:prstGeom>
                  </pic:spPr>
                </pic:pic>
              </a:graphicData>
            </a:graphic>
          </wp:anchor>
        </w:drawing>
      </w:r>
    </w:p>
    <w:p>
      <w:pPr>
        <w:pStyle w:val="Heading2"/>
        <w:spacing w:before="187"/>
      </w:pPr>
      <w:r>
        <w:rPr>
          <w:w w:val="75"/>
        </w:rPr>
        <w:t>Program</w:t>
      </w:r>
      <w:r>
        <w:rPr>
          <w:spacing w:val="30"/>
        </w:rPr>
        <w:t> </w:t>
      </w:r>
      <w:r>
        <w:rPr>
          <w:spacing w:val="-2"/>
          <w:w w:val="90"/>
        </w:rPr>
        <w:t>Goals</w:t>
      </w:r>
    </w:p>
    <w:p>
      <w:pPr>
        <w:pStyle w:val="ListParagraph"/>
        <w:numPr>
          <w:ilvl w:val="0"/>
          <w:numId w:val="2"/>
        </w:numPr>
        <w:tabs>
          <w:tab w:pos="2265" w:val="left" w:leader="none"/>
        </w:tabs>
        <w:spacing w:line="240" w:lineRule="auto" w:before="170" w:after="0"/>
        <w:ind w:left="2265" w:right="674" w:hanging="360"/>
        <w:jc w:val="left"/>
        <w:rPr>
          <w:rFonts w:ascii="Symbol" w:hAnsi="Symbol"/>
          <w:sz w:val="22"/>
        </w:rPr>
      </w:pPr>
      <w:r>
        <w:rPr>
          <w:sz w:val="22"/>
        </w:rPr>
        <w:t>Assist</w:t>
      </w:r>
      <w:r>
        <w:rPr>
          <w:spacing w:val="-4"/>
          <w:sz w:val="22"/>
        </w:rPr>
        <w:t> </w:t>
      </w:r>
      <w:r>
        <w:rPr>
          <w:sz w:val="22"/>
        </w:rPr>
        <w:t>students</w:t>
      </w:r>
      <w:r>
        <w:rPr>
          <w:spacing w:val="-4"/>
          <w:sz w:val="22"/>
        </w:rPr>
        <w:t> </w:t>
      </w:r>
      <w:r>
        <w:rPr>
          <w:sz w:val="22"/>
        </w:rPr>
        <w:t>with</w:t>
      </w:r>
      <w:r>
        <w:rPr>
          <w:spacing w:val="-4"/>
          <w:sz w:val="22"/>
        </w:rPr>
        <w:t> </w:t>
      </w:r>
      <w:r>
        <w:rPr>
          <w:sz w:val="22"/>
        </w:rPr>
        <w:t>making</w:t>
      </w:r>
      <w:r>
        <w:rPr>
          <w:spacing w:val="-4"/>
          <w:sz w:val="22"/>
        </w:rPr>
        <w:t> </w:t>
      </w:r>
      <w:r>
        <w:rPr>
          <w:sz w:val="22"/>
        </w:rPr>
        <w:t>the</w:t>
      </w:r>
      <w:r>
        <w:rPr>
          <w:spacing w:val="-4"/>
          <w:sz w:val="22"/>
        </w:rPr>
        <w:t> </w:t>
      </w:r>
      <w:r>
        <w:rPr>
          <w:sz w:val="22"/>
        </w:rPr>
        <w:t>transition</w:t>
      </w:r>
      <w:r>
        <w:rPr>
          <w:spacing w:val="-4"/>
          <w:sz w:val="22"/>
        </w:rPr>
        <w:t> </w:t>
      </w:r>
      <w:r>
        <w:rPr>
          <w:sz w:val="22"/>
        </w:rPr>
        <w:t>from</w:t>
      </w:r>
      <w:r>
        <w:rPr>
          <w:spacing w:val="-4"/>
          <w:sz w:val="22"/>
        </w:rPr>
        <w:t> </w:t>
      </w:r>
      <w:r>
        <w:rPr>
          <w:sz w:val="22"/>
        </w:rPr>
        <w:t>high</w:t>
      </w:r>
      <w:r>
        <w:rPr>
          <w:spacing w:val="-4"/>
          <w:sz w:val="22"/>
        </w:rPr>
        <w:t> </w:t>
      </w:r>
      <w:r>
        <w:rPr>
          <w:sz w:val="22"/>
        </w:rPr>
        <w:t>school</w:t>
      </w:r>
      <w:r>
        <w:rPr>
          <w:spacing w:val="-4"/>
          <w:sz w:val="22"/>
        </w:rPr>
        <w:t> </w:t>
      </w:r>
      <w:r>
        <w:rPr>
          <w:sz w:val="22"/>
        </w:rPr>
        <w:t>to</w:t>
      </w:r>
      <w:r>
        <w:rPr>
          <w:spacing w:val="-4"/>
          <w:sz w:val="22"/>
        </w:rPr>
        <w:t> </w:t>
      </w:r>
      <w:r>
        <w:rPr>
          <w:sz w:val="22"/>
        </w:rPr>
        <w:t>college</w:t>
      </w:r>
      <w:r>
        <w:rPr>
          <w:spacing w:val="-4"/>
          <w:sz w:val="22"/>
        </w:rPr>
        <w:t> </w:t>
      </w:r>
      <w:r>
        <w:rPr>
          <w:sz w:val="22"/>
        </w:rPr>
        <w:t>and adjusting to college life and academic expectations.</w:t>
      </w:r>
    </w:p>
    <w:p>
      <w:pPr>
        <w:pStyle w:val="ListParagraph"/>
        <w:numPr>
          <w:ilvl w:val="0"/>
          <w:numId w:val="2"/>
        </w:numPr>
        <w:tabs>
          <w:tab w:pos="2265" w:val="left" w:leader="none"/>
        </w:tabs>
        <w:spacing w:line="240" w:lineRule="auto" w:before="0" w:after="0"/>
        <w:ind w:left="2265" w:right="653" w:hanging="360"/>
        <w:jc w:val="left"/>
        <w:rPr>
          <w:rFonts w:ascii="Symbol" w:hAnsi="Symbol"/>
          <w:sz w:val="22"/>
        </w:rPr>
      </w:pPr>
      <w:r>
        <w:rPr>
          <w:sz w:val="22"/>
        </w:rPr>
        <w:t>Provide</w:t>
      </w:r>
      <w:r>
        <w:rPr>
          <w:spacing w:val="-4"/>
          <w:sz w:val="22"/>
        </w:rPr>
        <w:t> </w:t>
      </w:r>
      <w:r>
        <w:rPr>
          <w:sz w:val="22"/>
        </w:rPr>
        <w:t>a</w:t>
      </w:r>
      <w:r>
        <w:rPr>
          <w:spacing w:val="-4"/>
          <w:sz w:val="22"/>
        </w:rPr>
        <w:t> </w:t>
      </w:r>
      <w:r>
        <w:rPr>
          <w:sz w:val="22"/>
        </w:rPr>
        <w:t>network</w:t>
      </w:r>
      <w:r>
        <w:rPr>
          <w:spacing w:val="-4"/>
          <w:sz w:val="22"/>
        </w:rPr>
        <w:t> </w:t>
      </w:r>
      <w:r>
        <w:rPr>
          <w:sz w:val="22"/>
        </w:rPr>
        <w:t>of</w:t>
      </w:r>
      <w:r>
        <w:rPr>
          <w:spacing w:val="-4"/>
          <w:sz w:val="22"/>
        </w:rPr>
        <w:t> </w:t>
      </w:r>
      <w:r>
        <w:rPr>
          <w:sz w:val="22"/>
        </w:rPr>
        <w:t>support</w:t>
      </w:r>
      <w:r>
        <w:rPr>
          <w:spacing w:val="-4"/>
          <w:sz w:val="22"/>
        </w:rPr>
        <w:t> </w:t>
      </w:r>
      <w:r>
        <w:rPr>
          <w:sz w:val="22"/>
        </w:rPr>
        <w:t>through</w:t>
      </w:r>
      <w:r>
        <w:rPr>
          <w:spacing w:val="-4"/>
          <w:sz w:val="22"/>
        </w:rPr>
        <w:t> </w:t>
      </w:r>
      <w:r>
        <w:rPr>
          <w:sz w:val="22"/>
        </w:rPr>
        <w:t>connections</w:t>
      </w:r>
      <w:r>
        <w:rPr>
          <w:spacing w:val="-4"/>
          <w:sz w:val="22"/>
        </w:rPr>
        <w:t> </w:t>
      </w:r>
      <w:r>
        <w:rPr>
          <w:sz w:val="22"/>
        </w:rPr>
        <w:t>with</w:t>
      </w:r>
      <w:r>
        <w:rPr>
          <w:spacing w:val="-4"/>
          <w:sz w:val="22"/>
        </w:rPr>
        <w:t> </w:t>
      </w:r>
      <w:r>
        <w:rPr>
          <w:sz w:val="22"/>
        </w:rPr>
        <w:t>peers,</w:t>
      </w:r>
      <w:r>
        <w:rPr>
          <w:spacing w:val="-4"/>
          <w:sz w:val="22"/>
        </w:rPr>
        <w:t> </w:t>
      </w:r>
      <w:r>
        <w:rPr>
          <w:sz w:val="22"/>
        </w:rPr>
        <w:t>mentors</w:t>
      </w:r>
      <w:r>
        <w:rPr>
          <w:spacing w:val="-3"/>
          <w:sz w:val="22"/>
        </w:rPr>
        <w:t> </w:t>
      </w:r>
      <w:r>
        <w:rPr>
          <w:sz w:val="22"/>
        </w:rPr>
        <w:t>and College of Engineering staff.</w:t>
      </w:r>
    </w:p>
    <w:p>
      <w:pPr>
        <w:pStyle w:val="ListParagraph"/>
        <w:numPr>
          <w:ilvl w:val="0"/>
          <w:numId w:val="2"/>
        </w:numPr>
        <w:tabs>
          <w:tab w:pos="2265" w:val="left" w:leader="none"/>
        </w:tabs>
        <w:spacing w:line="269" w:lineRule="exact" w:before="0" w:after="0"/>
        <w:ind w:left="2265" w:right="0" w:hanging="360"/>
        <w:jc w:val="left"/>
        <w:rPr>
          <w:rFonts w:ascii="Symbol" w:hAnsi="Symbol"/>
          <w:sz w:val="22"/>
        </w:rPr>
      </w:pPr>
      <w:r>
        <w:rPr>
          <w:sz w:val="22"/>
        </w:rPr>
        <w:t>Assist</w:t>
      </w:r>
      <w:r>
        <w:rPr>
          <w:spacing w:val="-8"/>
          <w:sz w:val="22"/>
        </w:rPr>
        <w:t> </w:t>
      </w:r>
      <w:r>
        <w:rPr>
          <w:sz w:val="22"/>
        </w:rPr>
        <w:t>students</w:t>
      </w:r>
      <w:r>
        <w:rPr>
          <w:spacing w:val="-5"/>
          <w:sz w:val="22"/>
        </w:rPr>
        <w:t> </w:t>
      </w:r>
      <w:r>
        <w:rPr>
          <w:sz w:val="22"/>
        </w:rPr>
        <w:t>in</w:t>
      </w:r>
      <w:r>
        <w:rPr>
          <w:spacing w:val="-6"/>
          <w:sz w:val="22"/>
        </w:rPr>
        <w:t> </w:t>
      </w:r>
      <w:r>
        <w:rPr>
          <w:sz w:val="22"/>
        </w:rPr>
        <w:t>developing</w:t>
      </w:r>
      <w:r>
        <w:rPr>
          <w:spacing w:val="-5"/>
          <w:sz w:val="22"/>
        </w:rPr>
        <w:t> </w:t>
      </w:r>
      <w:r>
        <w:rPr>
          <w:sz w:val="22"/>
        </w:rPr>
        <w:t>habits</w:t>
      </w:r>
      <w:r>
        <w:rPr>
          <w:spacing w:val="-6"/>
          <w:sz w:val="22"/>
        </w:rPr>
        <w:t> </w:t>
      </w:r>
      <w:r>
        <w:rPr>
          <w:sz w:val="22"/>
        </w:rPr>
        <w:t>for</w:t>
      </w:r>
      <w:r>
        <w:rPr>
          <w:spacing w:val="-5"/>
          <w:sz w:val="22"/>
        </w:rPr>
        <w:t> </w:t>
      </w:r>
      <w:r>
        <w:rPr>
          <w:sz w:val="22"/>
        </w:rPr>
        <w:t>success</w:t>
      </w:r>
      <w:r>
        <w:rPr>
          <w:spacing w:val="-6"/>
          <w:sz w:val="22"/>
        </w:rPr>
        <w:t> </w:t>
      </w:r>
      <w:r>
        <w:rPr>
          <w:sz w:val="22"/>
        </w:rPr>
        <w:t>in</w:t>
      </w:r>
      <w:r>
        <w:rPr>
          <w:spacing w:val="-5"/>
          <w:sz w:val="22"/>
        </w:rPr>
        <w:t> </w:t>
      </w:r>
      <w:r>
        <w:rPr>
          <w:spacing w:val="-2"/>
          <w:sz w:val="22"/>
        </w:rPr>
        <w:t>college.</w:t>
      </w:r>
    </w:p>
    <w:p>
      <w:pPr>
        <w:pStyle w:val="ListParagraph"/>
        <w:numPr>
          <w:ilvl w:val="0"/>
          <w:numId w:val="2"/>
        </w:numPr>
        <w:tabs>
          <w:tab w:pos="2265" w:val="left" w:leader="none"/>
        </w:tabs>
        <w:spacing w:line="240" w:lineRule="auto" w:before="0" w:after="0"/>
        <w:ind w:left="2265" w:right="381" w:hanging="360"/>
        <w:jc w:val="left"/>
        <w:rPr>
          <w:rFonts w:ascii="Symbol" w:hAnsi="Symbol"/>
          <w:sz w:val="22"/>
        </w:rPr>
      </w:pPr>
      <w:r>
        <w:rPr>
          <w:sz w:val="22"/>
        </w:rPr>
        <w:t>Provide</w:t>
      </w:r>
      <w:r>
        <w:rPr>
          <w:spacing w:val="-4"/>
          <w:sz w:val="22"/>
        </w:rPr>
        <w:t> </w:t>
      </w:r>
      <w:r>
        <w:rPr>
          <w:sz w:val="22"/>
        </w:rPr>
        <w:t>resources</w:t>
      </w:r>
      <w:r>
        <w:rPr>
          <w:spacing w:val="-4"/>
          <w:sz w:val="22"/>
        </w:rPr>
        <w:t> </w:t>
      </w:r>
      <w:r>
        <w:rPr>
          <w:sz w:val="22"/>
        </w:rPr>
        <w:t>and</w:t>
      </w:r>
      <w:r>
        <w:rPr>
          <w:spacing w:val="-4"/>
          <w:sz w:val="22"/>
        </w:rPr>
        <w:t> </w:t>
      </w:r>
      <w:r>
        <w:rPr>
          <w:sz w:val="22"/>
        </w:rPr>
        <w:t>guidance</w:t>
      </w:r>
      <w:r>
        <w:rPr>
          <w:spacing w:val="-4"/>
          <w:sz w:val="22"/>
        </w:rPr>
        <w:t> </w:t>
      </w:r>
      <w:r>
        <w:rPr>
          <w:sz w:val="22"/>
        </w:rPr>
        <w:t>to</w:t>
      </w:r>
      <w:r>
        <w:rPr>
          <w:spacing w:val="-4"/>
          <w:sz w:val="22"/>
        </w:rPr>
        <w:t> </w:t>
      </w:r>
      <w:r>
        <w:rPr>
          <w:sz w:val="22"/>
        </w:rPr>
        <w:t>aid</w:t>
      </w:r>
      <w:r>
        <w:rPr>
          <w:spacing w:val="-4"/>
          <w:sz w:val="22"/>
        </w:rPr>
        <w:t> </w:t>
      </w:r>
      <w:r>
        <w:rPr>
          <w:sz w:val="22"/>
        </w:rPr>
        <w:t>students</w:t>
      </w:r>
      <w:r>
        <w:rPr>
          <w:spacing w:val="-4"/>
          <w:sz w:val="22"/>
        </w:rPr>
        <w:t> </w:t>
      </w:r>
      <w:r>
        <w:rPr>
          <w:sz w:val="22"/>
        </w:rPr>
        <w:t>in</w:t>
      </w:r>
      <w:r>
        <w:rPr>
          <w:spacing w:val="-4"/>
          <w:sz w:val="22"/>
        </w:rPr>
        <w:t> </w:t>
      </w:r>
      <w:r>
        <w:rPr>
          <w:sz w:val="22"/>
        </w:rPr>
        <w:t>successful</w:t>
      </w:r>
      <w:r>
        <w:rPr>
          <w:spacing w:val="-4"/>
          <w:sz w:val="22"/>
        </w:rPr>
        <w:t> </w:t>
      </w:r>
      <w:r>
        <w:rPr>
          <w:sz w:val="22"/>
        </w:rPr>
        <w:t>persistence</w:t>
      </w:r>
      <w:r>
        <w:rPr>
          <w:spacing w:val="-3"/>
          <w:sz w:val="22"/>
        </w:rPr>
        <w:t> </w:t>
      </w:r>
      <w:r>
        <w:rPr>
          <w:sz w:val="22"/>
        </w:rPr>
        <w:t>from the first to the second year of college.</w:t>
      </w:r>
    </w:p>
    <w:p>
      <w:pPr>
        <w:pStyle w:val="Heading2"/>
        <w:spacing w:before="225"/>
      </w:pPr>
      <w:r>
        <w:rPr>
          <w:w w:val="80"/>
        </w:rPr>
        <w:t>2022-2023</w:t>
      </w:r>
      <w:r>
        <w:rPr>
          <w:spacing w:val="-3"/>
        </w:rPr>
        <w:t> </w:t>
      </w:r>
      <w:r>
        <w:rPr>
          <w:w w:val="80"/>
        </w:rPr>
        <w:t>Program</w:t>
      </w:r>
      <w:r>
        <w:rPr>
          <w:spacing w:val="-3"/>
        </w:rPr>
        <w:t> </w:t>
      </w:r>
      <w:r>
        <w:rPr>
          <w:spacing w:val="-2"/>
          <w:w w:val="80"/>
        </w:rPr>
        <w:t>Participants</w:t>
      </w:r>
    </w:p>
    <w:p>
      <w:pPr>
        <w:spacing w:after="0"/>
        <w:sectPr>
          <w:pgSz w:w="12240" w:h="15840"/>
          <w:pgMar w:header="1464" w:footer="1245" w:top="2100" w:bottom="1440" w:left="1340" w:right="1220"/>
        </w:sectPr>
      </w:pPr>
    </w:p>
    <w:p>
      <w:pPr>
        <w:pStyle w:val="BodyText"/>
        <w:rPr>
          <w:rFonts w:ascii="Calibri"/>
          <w:sz w:val="20"/>
        </w:rPr>
      </w:pPr>
    </w:p>
    <w:p>
      <w:pPr>
        <w:pStyle w:val="BodyText"/>
        <w:spacing w:before="7"/>
        <w:rPr>
          <w:rFonts w:ascii="Calibri"/>
        </w:rPr>
      </w:pPr>
    </w:p>
    <w:p>
      <w:pPr>
        <w:pStyle w:val="BodyText"/>
        <w:spacing w:line="259" w:lineRule="auto" w:before="119"/>
        <w:ind w:left="1545"/>
      </w:pPr>
      <w:r>
        <w:rPr/>
        <w:t>For</w:t>
      </w:r>
      <w:r>
        <w:rPr>
          <w:spacing w:val="-3"/>
        </w:rPr>
        <w:t> </w:t>
      </w:r>
      <w:r>
        <w:rPr/>
        <w:t>the</w:t>
      </w:r>
      <w:r>
        <w:rPr>
          <w:spacing w:val="-3"/>
        </w:rPr>
        <w:t> </w:t>
      </w:r>
      <w:r>
        <w:rPr/>
        <w:t>academic</w:t>
      </w:r>
      <w:r>
        <w:rPr>
          <w:spacing w:val="-3"/>
        </w:rPr>
        <w:t> </w:t>
      </w:r>
      <w:r>
        <w:rPr/>
        <w:t>year</w:t>
      </w:r>
      <w:r>
        <w:rPr>
          <w:spacing w:val="-3"/>
        </w:rPr>
        <w:t> </w:t>
      </w:r>
      <w:r>
        <w:rPr/>
        <w:t>2023,</w:t>
      </w:r>
      <w:r>
        <w:rPr>
          <w:spacing w:val="-3"/>
        </w:rPr>
        <w:t> </w:t>
      </w:r>
      <w:r>
        <w:rPr/>
        <w:t>47</w:t>
      </w:r>
      <w:r>
        <w:rPr>
          <w:spacing w:val="-3"/>
        </w:rPr>
        <w:t> </w:t>
      </w:r>
      <w:r>
        <w:rPr/>
        <w:t>fall</w:t>
      </w:r>
      <w:r>
        <w:rPr>
          <w:spacing w:val="-3"/>
        </w:rPr>
        <w:t> </w:t>
      </w:r>
      <w:r>
        <w:rPr/>
        <w:t>2022</w:t>
      </w:r>
      <w:r>
        <w:rPr>
          <w:spacing w:val="-3"/>
        </w:rPr>
        <w:t> </w:t>
      </w:r>
      <w:r>
        <w:rPr/>
        <w:t>incoming</w:t>
      </w:r>
      <w:r>
        <w:rPr>
          <w:spacing w:val="-3"/>
        </w:rPr>
        <w:t> </w:t>
      </w:r>
      <w:r>
        <w:rPr/>
        <w:t>freshmen</w:t>
      </w:r>
      <w:r>
        <w:rPr>
          <w:spacing w:val="-3"/>
        </w:rPr>
        <w:t> </w:t>
      </w:r>
      <w:r>
        <w:rPr/>
        <w:t>applied</w:t>
      </w:r>
      <w:r>
        <w:rPr>
          <w:spacing w:val="-3"/>
        </w:rPr>
        <w:t> </w:t>
      </w:r>
      <w:r>
        <w:rPr/>
        <w:t>for</w:t>
      </w:r>
      <w:r>
        <w:rPr>
          <w:spacing w:val="-3"/>
        </w:rPr>
        <w:t> </w:t>
      </w:r>
      <w:r>
        <w:rPr/>
        <w:t>the</w:t>
      </w:r>
      <w:r>
        <w:rPr>
          <w:spacing w:val="-3"/>
        </w:rPr>
        <w:t> </w:t>
      </w:r>
      <w:r>
        <w:rPr/>
        <w:t>program.</w:t>
      </w:r>
      <w:r>
        <w:rPr>
          <w:spacing w:val="-3"/>
        </w:rPr>
        <w:t> </w:t>
      </w:r>
      <w:r>
        <w:rPr/>
        <w:t>Of those, 29 were selected to be in the program. Below is demographic data on the 29 scholars for the academic year 2023.</w:t>
      </w:r>
    </w:p>
    <w:p>
      <w:pPr>
        <w:pStyle w:val="BodyText"/>
        <w:rPr>
          <w:sz w:val="20"/>
        </w:rPr>
      </w:pPr>
    </w:p>
    <w:p>
      <w:pPr>
        <w:pStyle w:val="BodyText"/>
        <w:spacing w:before="3"/>
        <w:rPr>
          <w:sz w:val="29"/>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22"/>
        <w:gridCol w:w="1440"/>
        <w:gridCol w:w="1531"/>
      </w:tblGrid>
      <w:tr>
        <w:trPr>
          <w:trHeight w:val="263" w:hRule="atLeast"/>
        </w:trPr>
        <w:tc>
          <w:tcPr>
            <w:tcW w:w="3322" w:type="dxa"/>
            <w:shd w:val="clear" w:color="auto" w:fill="BFBFBF"/>
          </w:tcPr>
          <w:p>
            <w:pPr>
              <w:pStyle w:val="TableParagraph"/>
              <w:spacing w:line="225" w:lineRule="exact" w:before="18"/>
              <w:ind w:left="105"/>
              <w:jc w:val="left"/>
              <w:rPr>
                <w:sz w:val="21"/>
              </w:rPr>
            </w:pPr>
            <w:r>
              <w:rPr>
                <w:spacing w:val="-2"/>
                <w:w w:val="105"/>
                <w:sz w:val="21"/>
              </w:rPr>
              <w:t>Demographic</w:t>
            </w:r>
          </w:p>
        </w:tc>
        <w:tc>
          <w:tcPr>
            <w:tcW w:w="1440" w:type="dxa"/>
            <w:shd w:val="clear" w:color="auto" w:fill="BFBFBF"/>
          </w:tcPr>
          <w:p>
            <w:pPr>
              <w:pStyle w:val="TableParagraph"/>
              <w:spacing w:line="225" w:lineRule="exact" w:before="18"/>
              <w:ind w:left="109"/>
              <w:jc w:val="left"/>
              <w:rPr>
                <w:sz w:val="21"/>
              </w:rPr>
            </w:pPr>
            <w:r>
              <w:rPr>
                <w:spacing w:val="-2"/>
                <w:w w:val="105"/>
                <w:sz w:val="21"/>
              </w:rPr>
              <w:t>Count</w:t>
            </w:r>
          </w:p>
        </w:tc>
        <w:tc>
          <w:tcPr>
            <w:tcW w:w="1531" w:type="dxa"/>
            <w:shd w:val="clear" w:color="auto" w:fill="BFBFBF"/>
          </w:tcPr>
          <w:p>
            <w:pPr>
              <w:pStyle w:val="TableParagraph"/>
              <w:spacing w:line="225" w:lineRule="exact" w:before="18"/>
              <w:ind w:left="109"/>
              <w:jc w:val="left"/>
              <w:rPr>
                <w:sz w:val="21"/>
              </w:rPr>
            </w:pPr>
            <w:r>
              <w:rPr>
                <w:spacing w:val="-2"/>
                <w:w w:val="105"/>
                <w:sz w:val="21"/>
              </w:rPr>
              <w:t>Percent</w:t>
            </w:r>
          </w:p>
        </w:tc>
      </w:tr>
      <w:tr>
        <w:trPr>
          <w:trHeight w:val="263" w:hRule="atLeast"/>
        </w:trPr>
        <w:tc>
          <w:tcPr>
            <w:tcW w:w="3322" w:type="dxa"/>
          </w:tcPr>
          <w:p>
            <w:pPr>
              <w:pStyle w:val="TableParagraph"/>
              <w:ind w:left="105"/>
              <w:jc w:val="left"/>
              <w:rPr>
                <w:sz w:val="22"/>
              </w:rPr>
            </w:pPr>
            <w:r>
              <w:rPr>
                <w:spacing w:val="-2"/>
                <w:sz w:val="22"/>
              </w:rPr>
              <w:t>Woman</w:t>
            </w:r>
          </w:p>
        </w:tc>
        <w:tc>
          <w:tcPr>
            <w:tcW w:w="1440" w:type="dxa"/>
          </w:tcPr>
          <w:p>
            <w:pPr>
              <w:pStyle w:val="TableParagraph"/>
              <w:ind w:right="94"/>
              <w:rPr>
                <w:sz w:val="22"/>
              </w:rPr>
            </w:pPr>
            <w:r>
              <w:rPr>
                <w:spacing w:val="-5"/>
                <w:sz w:val="22"/>
              </w:rPr>
              <w:t>12</w:t>
            </w:r>
          </w:p>
        </w:tc>
        <w:tc>
          <w:tcPr>
            <w:tcW w:w="1531" w:type="dxa"/>
          </w:tcPr>
          <w:p>
            <w:pPr>
              <w:pStyle w:val="TableParagraph"/>
              <w:ind w:right="94"/>
              <w:rPr>
                <w:sz w:val="22"/>
              </w:rPr>
            </w:pPr>
            <w:r>
              <w:rPr>
                <w:spacing w:val="-5"/>
                <w:sz w:val="22"/>
              </w:rPr>
              <w:t>41%</w:t>
            </w:r>
          </w:p>
        </w:tc>
      </w:tr>
      <w:tr>
        <w:trPr>
          <w:trHeight w:val="263" w:hRule="atLeast"/>
        </w:trPr>
        <w:tc>
          <w:tcPr>
            <w:tcW w:w="3322" w:type="dxa"/>
          </w:tcPr>
          <w:p>
            <w:pPr>
              <w:pStyle w:val="TableParagraph"/>
              <w:ind w:left="105"/>
              <w:jc w:val="left"/>
              <w:rPr>
                <w:sz w:val="22"/>
              </w:rPr>
            </w:pPr>
            <w:r>
              <w:rPr>
                <w:spacing w:val="-5"/>
                <w:sz w:val="22"/>
              </w:rPr>
              <w:t>Man</w:t>
            </w:r>
          </w:p>
        </w:tc>
        <w:tc>
          <w:tcPr>
            <w:tcW w:w="1440" w:type="dxa"/>
          </w:tcPr>
          <w:p>
            <w:pPr>
              <w:pStyle w:val="TableParagraph"/>
              <w:ind w:right="94"/>
              <w:rPr>
                <w:sz w:val="22"/>
              </w:rPr>
            </w:pPr>
            <w:r>
              <w:rPr>
                <w:spacing w:val="-5"/>
                <w:sz w:val="22"/>
              </w:rPr>
              <w:t>17</w:t>
            </w:r>
          </w:p>
        </w:tc>
        <w:tc>
          <w:tcPr>
            <w:tcW w:w="1531" w:type="dxa"/>
          </w:tcPr>
          <w:p>
            <w:pPr>
              <w:pStyle w:val="TableParagraph"/>
              <w:ind w:right="94"/>
              <w:rPr>
                <w:sz w:val="22"/>
              </w:rPr>
            </w:pPr>
            <w:r>
              <w:rPr>
                <w:spacing w:val="-5"/>
                <w:sz w:val="22"/>
              </w:rPr>
              <w:t>59%</w:t>
            </w:r>
          </w:p>
        </w:tc>
      </w:tr>
      <w:tr>
        <w:trPr>
          <w:trHeight w:val="263" w:hRule="atLeast"/>
        </w:trPr>
        <w:tc>
          <w:tcPr>
            <w:tcW w:w="3322" w:type="dxa"/>
            <w:shd w:val="clear" w:color="auto" w:fill="D9D9D9"/>
          </w:tcPr>
          <w:p>
            <w:pPr>
              <w:pStyle w:val="TableParagraph"/>
              <w:spacing w:line="240" w:lineRule="auto" w:before="0"/>
              <w:jc w:val="left"/>
              <w:rPr>
                <w:rFonts w:ascii="Times New Roman"/>
                <w:sz w:val="18"/>
              </w:rPr>
            </w:pPr>
          </w:p>
        </w:tc>
        <w:tc>
          <w:tcPr>
            <w:tcW w:w="1440" w:type="dxa"/>
            <w:shd w:val="clear" w:color="auto" w:fill="D9D9D9"/>
          </w:tcPr>
          <w:p>
            <w:pPr>
              <w:pStyle w:val="TableParagraph"/>
              <w:spacing w:line="240" w:lineRule="auto" w:before="0"/>
              <w:jc w:val="left"/>
              <w:rPr>
                <w:rFonts w:ascii="Times New Roman"/>
                <w:sz w:val="18"/>
              </w:rPr>
            </w:pPr>
          </w:p>
        </w:tc>
        <w:tc>
          <w:tcPr>
            <w:tcW w:w="1531" w:type="dxa"/>
            <w:shd w:val="clear" w:color="auto" w:fill="D9D9D9"/>
          </w:tcPr>
          <w:p>
            <w:pPr>
              <w:pStyle w:val="TableParagraph"/>
              <w:spacing w:line="240" w:lineRule="auto" w:before="0"/>
              <w:jc w:val="left"/>
              <w:rPr>
                <w:rFonts w:ascii="Times New Roman"/>
                <w:sz w:val="18"/>
              </w:rPr>
            </w:pPr>
          </w:p>
        </w:tc>
      </w:tr>
      <w:tr>
        <w:trPr>
          <w:trHeight w:val="263" w:hRule="atLeast"/>
        </w:trPr>
        <w:tc>
          <w:tcPr>
            <w:tcW w:w="3322" w:type="dxa"/>
          </w:tcPr>
          <w:p>
            <w:pPr>
              <w:pStyle w:val="TableParagraph"/>
              <w:ind w:left="105"/>
              <w:jc w:val="left"/>
              <w:rPr>
                <w:sz w:val="22"/>
              </w:rPr>
            </w:pPr>
            <w:r>
              <w:rPr>
                <w:spacing w:val="-4"/>
                <w:sz w:val="22"/>
              </w:rPr>
              <w:t>Asian</w:t>
            </w:r>
          </w:p>
        </w:tc>
        <w:tc>
          <w:tcPr>
            <w:tcW w:w="1440" w:type="dxa"/>
          </w:tcPr>
          <w:p>
            <w:pPr>
              <w:pStyle w:val="TableParagraph"/>
              <w:ind w:right="93"/>
              <w:rPr>
                <w:sz w:val="22"/>
              </w:rPr>
            </w:pPr>
            <w:r>
              <w:rPr>
                <w:w w:val="100"/>
                <w:sz w:val="22"/>
              </w:rPr>
              <w:t>2</w:t>
            </w:r>
          </w:p>
        </w:tc>
        <w:tc>
          <w:tcPr>
            <w:tcW w:w="1531" w:type="dxa"/>
          </w:tcPr>
          <w:p>
            <w:pPr>
              <w:pStyle w:val="TableParagraph"/>
              <w:ind w:right="94"/>
              <w:rPr>
                <w:sz w:val="22"/>
              </w:rPr>
            </w:pPr>
            <w:r>
              <w:rPr>
                <w:spacing w:val="-5"/>
                <w:sz w:val="22"/>
              </w:rPr>
              <w:t>7%</w:t>
            </w:r>
          </w:p>
        </w:tc>
      </w:tr>
      <w:tr>
        <w:trPr>
          <w:trHeight w:val="268" w:hRule="atLeast"/>
        </w:trPr>
        <w:tc>
          <w:tcPr>
            <w:tcW w:w="3322" w:type="dxa"/>
          </w:tcPr>
          <w:p>
            <w:pPr>
              <w:pStyle w:val="TableParagraph"/>
              <w:spacing w:before="18"/>
              <w:ind w:left="105"/>
              <w:jc w:val="left"/>
              <w:rPr>
                <w:sz w:val="22"/>
              </w:rPr>
            </w:pPr>
            <w:r>
              <w:rPr>
                <w:sz w:val="22"/>
              </w:rPr>
              <w:t>American</w:t>
            </w:r>
            <w:r>
              <w:rPr>
                <w:spacing w:val="-11"/>
                <w:sz w:val="22"/>
              </w:rPr>
              <w:t> </w:t>
            </w:r>
            <w:r>
              <w:rPr>
                <w:sz w:val="22"/>
              </w:rPr>
              <w:t>Indian/Alaska</w:t>
            </w:r>
            <w:r>
              <w:rPr>
                <w:spacing w:val="-10"/>
                <w:sz w:val="22"/>
              </w:rPr>
              <w:t> </w:t>
            </w:r>
            <w:r>
              <w:rPr>
                <w:spacing w:val="-2"/>
                <w:sz w:val="22"/>
              </w:rPr>
              <w:t>Native</w:t>
            </w:r>
          </w:p>
        </w:tc>
        <w:tc>
          <w:tcPr>
            <w:tcW w:w="1440" w:type="dxa"/>
          </w:tcPr>
          <w:p>
            <w:pPr>
              <w:pStyle w:val="TableParagraph"/>
              <w:spacing w:before="18"/>
              <w:ind w:right="93"/>
              <w:rPr>
                <w:sz w:val="22"/>
              </w:rPr>
            </w:pPr>
            <w:r>
              <w:rPr>
                <w:w w:val="100"/>
                <w:sz w:val="22"/>
              </w:rPr>
              <w:t>1</w:t>
            </w:r>
          </w:p>
        </w:tc>
        <w:tc>
          <w:tcPr>
            <w:tcW w:w="1531" w:type="dxa"/>
          </w:tcPr>
          <w:p>
            <w:pPr>
              <w:pStyle w:val="TableParagraph"/>
              <w:spacing w:before="18"/>
              <w:ind w:right="94"/>
              <w:rPr>
                <w:sz w:val="22"/>
              </w:rPr>
            </w:pPr>
            <w:r>
              <w:rPr>
                <w:spacing w:val="-5"/>
                <w:sz w:val="22"/>
              </w:rPr>
              <w:t>3%</w:t>
            </w:r>
          </w:p>
        </w:tc>
      </w:tr>
      <w:tr>
        <w:trPr>
          <w:trHeight w:val="263" w:hRule="atLeast"/>
        </w:trPr>
        <w:tc>
          <w:tcPr>
            <w:tcW w:w="3322" w:type="dxa"/>
          </w:tcPr>
          <w:p>
            <w:pPr>
              <w:pStyle w:val="TableParagraph"/>
              <w:ind w:left="105"/>
              <w:jc w:val="left"/>
              <w:rPr>
                <w:sz w:val="22"/>
              </w:rPr>
            </w:pPr>
            <w:r>
              <w:rPr>
                <w:spacing w:val="-2"/>
                <w:sz w:val="22"/>
              </w:rPr>
              <w:t>Black/African</w:t>
            </w:r>
            <w:r>
              <w:rPr>
                <w:spacing w:val="13"/>
                <w:sz w:val="22"/>
              </w:rPr>
              <w:t> </w:t>
            </w:r>
            <w:r>
              <w:rPr>
                <w:spacing w:val="-2"/>
                <w:sz w:val="22"/>
              </w:rPr>
              <w:t>American</w:t>
            </w:r>
          </w:p>
        </w:tc>
        <w:tc>
          <w:tcPr>
            <w:tcW w:w="1440" w:type="dxa"/>
          </w:tcPr>
          <w:p>
            <w:pPr>
              <w:pStyle w:val="TableParagraph"/>
              <w:ind w:right="93"/>
              <w:rPr>
                <w:sz w:val="22"/>
              </w:rPr>
            </w:pPr>
            <w:r>
              <w:rPr>
                <w:w w:val="100"/>
                <w:sz w:val="22"/>
              </w:rPr>
              <w:t>5</w:t>
            </w:r>
          </w:p>
        </w:tc>
        <w:tc>
          <w:tcPr>
            <w:tcW w:w="1531" w:type="dxa"/>
          </w:tcPr>
          <w:p>
            <w:pPr>
              <w:pStyle w:val="TableParagraph"/>
              <w:ind w:right="94"/>
              <w:rPr>
                <w:sz w:val="22"/>
              </w:rPr>
            </w:pPr>
            <w:r>
              <w:rPr>
                <w:spacing w:val="-5"/>
                <w:sz w:val="22"/>
              </w:rPr>
              <w:t>17%</w:t>
            </w:r>
          </w:p>
        </w:tc>
      </w:tr>
      <w:tr>
        <w:trPr>
          <w:trHeight w:val="263" w:hRule="atLeast"/>
        </w:trPr>
        <w:tc>
          <w:tcPr>
            <w:tcW w:w="3322" w:type="dxa"/>
          </w:tcPr>
          <w:p>
            <w:pPr>
              <w:pStyle w:val="TableParagraph"/>
              <w:ind w:left="105"/>
              <w:jc w:val="left"/>
              <w:rPr>
                <w:sz w:val="22"/>
              </w:rPr>
            </w:pPr>
            <w:r>
              <w:rPr>
                <w:spacing w:val="-2"/>
                <w:sz w:val="22"/>
              </w:rPr>
              <w:t>Hispanic</w:t>
            </w:r>
          </w:p>
        </w:tc>
        <w:tc>
          <w:tcPr>
            <w:tcW w:w="1440" w:type="dxa"/>
          </w:tcPr>
          <w:p>
            <w:pPr>
              <w:pStyle w:val="TableParagraph"/>
              <w:ind w:right="94"/>
              <w:rPr>
                <w:sz w:val="22"/>
              </w:rPr>
            </w:pPr>
            <w:r>
              <w:rPr>
                <w:spacing w:val="-5"/>
                <w:sz w:val="22"/>
              </w:rPr>
              <w:t>17</w:t>
            </w:r>
          </w:p>
        </w:tc>
        <w:tc>
          <w:tcPr>
            <w:tcW w:w="1531" w:type="dxa"/>
          </w:tcPr>
          <w:p>
            <w:pPr>
              <w:pStyle w:val="TableParagraph"/>
              <w:ind w:right="94"/>
              <w:rPr>
                <w:sz w:val="22"/>
              </w:rPr>
            </w:pPr>
            <w:r>
              <w:rPr>
                <w:spacing w:val="-5"/>
                <w:sz w:val="22"/>
              </w:rPr>
              <w:t>59%</w:t>
            </w:r>
          </w:p>
        </w:tc>
      </w:tr>
      <w:tr>
        <w:trPr>
          <w:trHeight w:val="263" w:hRule="atLeast"/>
        </w:trPr>
        <w:tc>
          <w:tcPr>
            <w:tcW w:w="3322" w:type="dxa"/>
          </w:tcPr>
          <w:p>
            <w:pPr>
              <w:pStyle w:val="TableParagraph"/>
              <w:ind w:left="105"/>
              <w:jc w:val="left"/>
              <w:rPr>
                <w:sz w:val="22"/>
              </w:rPr>
            </w:pPr>
            <w:r>
              <w:rPr>
                <w:spacing w:val="-2"/>
                <w:sz w:val="22"/>
              </w:rPr>
              <w:t>White</w:t>
            </w:r>
          </w:p>
        </w:tc>
        <w:tc>
          <w:tcPr>
            <w:tcW w:w="1440" w:type="dxa"/>
          </w:tcPr>
          <w:p>
            <w:pPr>
              <w:pStyle w:val="TableParagraph"/>
              <w:ind w:right="93"/>
              <w:rPr>
                <w:sz w:val="22"/>
              </w:rPr>
            </w:pPr>
            <w:r>
              <w:rPr>
                <w:w w:val="100"/>
                <w:sz w:val="22"/>
              </w:rPr>
              <w:t>4</w:t>
            </w:r>
          </w:p>
        </w:tc>
        <w:tc>
          <w:tcPr>
            <w:tcW w:w="1531" w:type="dxa"/>
          </w:tcPr>
          <w:p>
            <w:pPr>
              <w:pStyle w:val="TableParagraph"/>
              <w:ind w:right="94"/>
              <w:rPr>
                <w:sz w:val="22"/>
              </w:rPr>
            </w:pPr>
            <w:r>
              <w:rPr>
                <w:spacing w:val="-5"/>
                <w:sz w:val="22"/>
              </w:rPr>
              <w:t>14%</w:t>
            </w:r>
          </w:p>
        </w:tc>
      </w:tr>
    </w:tbl>
    <w:p>
      <w:pPr>
        <w:pStyle w:val="BodyText"/>
        <w:spacing w:before="2"/>
        <w:rPr>
          <w:sz w:val="26"/>
        </w:rPr>
      </w:pPr>
    </w:p>
    <w:p>
      <w:pPr>
        <w:pStyle w:val="Heading2"/>
      </w:pPr>
      <w:r>
        <w:rPr>
          <w:spacing w:val="-2"/>
          <w:w w:val="90"/>
        </w:rPr>
        <w:t>Impact</w:t>
      </w:r>
    </w:p>
    <w:p>
      <w:pPr>
        <w:pStyle w:val="BodyText"/>
        <w:spacing w:line="259" w:lineRule="auto" w:before="283"/>
        <w:ind w:left="1545" w:right="207"/>
      </w:pPr>
      <w:r>
        <w:rPr/>
        <w:t>For</w:t>
      </w:r>
      <w:r>
        <w:rPr>
          <w:spacing w:val="-3"/>
        </w:rPr>
        <w:t> </w:t>
      </w:r>
      <w:r>
        <w:rPr/>
        <w:t>the</w:t>
      </w:r>
      <w:r>
        <w:rPr>
          <w:spacing w:val="-3"/>
        </w:rPr>
        <w:t> </w:t>
      </w:r>
      <w:r>
        <w:rPr/>
        <w:t>academic</w:t>
      </w:r>
      <w:r>
        <w:rPr>
          <w:spacing w:val="-3"/>
        </w:rPr>
        <w:t> </w:t>
      </w:r>
      <w:r>
        <w:rPr/>
        <w:t>year</w:t>
      </w:r>
      <w:r>
        <w:rPr>
          <w:spacing w:val="-3"/>
        </w:rPr>
        <w:t> </w:t>
      </w:r>
      <w:r>
        <w:rPr/>
        <w:t>2023</w:t>
      </w:r>
      <w:r>
        <w:rPr>
          <w:spacing w:val="-3"/>
        </w:rPr>
        <w:t> </w:t>
      </w:r>
      <w:r>
        <w:rPr/>
        <w:t>cohort,</w:t>
      </w:r>
      <w:r>
        <w:rPr>
          <w:spacing w:val="-3"/>
        </w:rPr>
        <w:t> </w:t>
      </w:r>
      <w:r>
        <w:rPr/>
        <w:t>there</w:t>
      </w:r>
      <w:r>
        <w:rPr>
          <w:spacing w:val="-3"/>
        </w:rPr>
        <w:t> </w:t>
      </w:r>
      <w:r>
        <w:rPr/>
        <w:t>was</w:t>
      </w:r>
      <w:r>
        <w:rPr>
          <w:spacing w:val="-3"/>
        </w:rPr>
        <w:t> </w:t>
      </w:r>
      <w:r>
        <w:rPr/>
        <w:t>an</w:t>
      </w:r>
      <w:r>
        <w:rPr>
          <w:spacing w:val="-3"/>
        </w:rPr>
        <w:t> </w:t>
      </w:r>
      <w:r>
        <w:rPr/>
        <w:t>86%</w:t>
      </w:r>
      <w:r>
        <w:rPr>
          <w:spacing w:val="-3"/>
        </w:rPr>
        <w:t> </w:t>
      </w:r>
      <w:r>
        <w:rPr/>
        <w:t>fall</w:t>
      </w:r>
      <w:r>
        <w:rPr>
          <w:spacing w:val="-3"/>
        </w:rPr>
        <w:t> </w:t>
      </w:r>
      <w:r>
        <w:rPr/>
        <w:t>to</w:t>
      </w:r>
      <w:r>
        <w:rPr>
          <w:spacing w:val="-3"/>
        </w:rPr>
        <w:t> </w:t>
      </w:r>
      <w:r>
        <w:rPr/>
        <w:t>spring</w:t>
      </w:r>
      <w:r>
        <w:rPr>
          <w:spacing w:val="-3"/>
        </w:rPr>
        <w:t> </w:t>
      </w:r>
      <w:r>
        <w:rPr/>
        <w:t>retention</w:t>
      </w:r>
      <w:r>
        <w:rPr>
          <w:spacing w:val="-3"/>
        </w:rPr>
        <w:t> </w:t>
      </w:r>
      <w:r>
        <w:rPr/>
        <w:t>rate</w:t>
      </w:r>
      <w:r>
        <w:rPr>
          <w:spacing w:val="-3"/>
        </w:rPr>
        <w:t> </w:t>
      </w:r>
      <w:r>
        <w:rPr/>
        <w:t>in</w:t>
      </w:r>
      <w:r>
        <w:rPr>
          <w:spacing w:val="-3"/>
        </w:rPr>
        <w:t> </w:t>
      </w:r>
      <w:r>
        <w:rPr/>
        <w:t>the College of Engineering. Since it is too early to measure freshman to sophomore retention for the academic year 2023 cohort, below is retention data for the academic year 2022 program cohort, which had similar demographics.</w:t>
      </w:r>
    </w:p>
    <w:p>
      <w:pPr>
        <w:pStyle w:val="BodyText"/>
        <w:rPr>
          <w:sz w:val="20"/>
        </w:rPr>
      </w:pPr>
    </w:p>
    <w:p>
      <w:pPr>
        <w:pStyle w:val="BodyText"/>
        <w:spacing w:before="6"/>
        <w:rPr>
          <w:sz w:val="29"/>
        </w:rPr>
      </w:pPr>
    </w:p>
    <w:tbl>
      <w:tblPr>
        <w:tblW w:w="0" w:type="auto"/>
        <w:jc w:val="left"/>
        <w:tblInd w:w="1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942"/>
        <w:gridCol w:w="1560"/>
        <w:gridCol w:w="1555"/>
        <w:gridCol w:w="1963"/>
      </w:tblGrid>
      <w:tr>
        <w:trPr>
          <w:trHeight w:val="527" w:hRule="atLeast"/>
        </w:trPr>
        <w:tc>
          <w:tcPr>
            <w:tcW w:w="2942" w:type="dxa"/>
            <w:shd w:val="clear" w:color="auto" w:fill="BFBFBF"/>
          </w:tcPr>
          <w:p>
            <w:pPr>
              <w:pStyle w:val="TableParagraph"/>
              <w:spacing w:line="260" w:lineRule="atLeast" w:before="0"/>
              <w:ind w:left="105" w:right="278"/>
              <w:jc w:val="left"/>
              <w:rPr>
                <w:sz w:val="21"/>
              </w:rPr>
            </w:pPr>
            <w:r>
              <w:rPr>
                <w:w w:val="105"/>
                <w:sz w:val="21"/>
              </w:rPr>
              <w:t>Fall 2021 Incoming College of Engineering Freshmen</w:t>
            </w:r>
          </w:p>
        </w:tc>
        <w:tc>
          <w:tcPr>
            <w:tcW w:w="1560" w:type="dxa"/>
            <w:shd w:val="clear" w:color="auto" w:fill="BFBFBF"/>
          </w:tcPr>
          <w:p>
            <w:pPr>
              <w:pStyle w:val="TableParagraph"/>
              <w:spacing w:line="260" w:lineRule="atLeast" w:before="0"/>
              <w:ind w:left="110" w:right="180"/>
              <w:jc w:val="left"/>
              <w:rPr>
                <w:sz w:val="21"/>
              </w:rPr>
            </w:pPr>
            <w:r>
              <w:rPr>
                <w:w w:val="105"/>
                <w:sz w:val="21"/>
              </w:rPr>
              <w:t># </w:t>
            </w:r>
            <w:r>
              <w:rPr>
                <w:w w:val="105"/>
                <w:sz w:val="21"/>
              </w:rPr>
              <w:t>Enrolled Fall 2021</w:t>
            </w:r>
          </w:p>
        </w:tc>
        <w:tc>
          <w:tcPr>
            <w:tcW w:w="1555" w:type="dxa"/>
            <w:shd w:val="clear" w:color="auto" w:fill="BFBFBF"/>
          </w:tcPr>
          <w:p>
            <w:pPr>
              <w:pStyle w:val="TableParagraph"/>
              <w:spacing w:line="260" w:lineRule="atLeast" w:before="0"/>
              <w:ind w:left="105" w:right="143"/>
              <w:jc w:val="left"/>
              <w:rPr>
                <w:sz w:val="21"/>
              </w:rPr>
            </w:pPr>
            <w:r>
              <w:rPr>
                <w:w w:val="105"/>
                <w:sz w:val="21"/>
              </w:rPr>
              <w:t># </w:t>
            </w:r>
            <w:r>
              <w:rPr>
                <w:w w:val="105"/>
                <w:sz w:val="21"/>
              </w:rPr>
              <w:t>Returned 2</w:t>
            </w:r>
            <w:r>
              <w:rPr>
                <w:w w:val="105"/>
                <w:sz w:val="21"/>
                <w:vertAlign w:val="superscript"/>
              </w:rPr>
              <w:t>nd</w:t>
            </w:r>
            <w:r>
              <w:rPr>
                <w:w w:val="105"/>
                <w:sz w:val="21"/>
                <w:vertAlign w:val="baseline"/>
              </w:rPr>
              <w:t> Year</w:t>
            </w:r>
          </w:p>
        </w:tc>
        <w:tc>
          <w:tcPr>
            <w:tcW w:w="1963" w:type="dxa"/>
            <w:shd w:val="clear" w:color="auto" w:fill="BFBFBF"/>
          </w:tcPr>
          <w:p>
            <w:pPr>
              <w:pStyle w:val="TableParagraph"/>
              <w:spacing w:line="260" w:lineRule="atLeast" w:before="0"/>
              <w:ind w:left="105" w:right="38"/>
              <w:jc w:val="left"/>
              <w:rPr>
                <w:sz w:val="21"/>
              </w:rPr>
            </w:pPr>
            <w:r>
              <w:rPr>
                <w:w w:val="105"/>
                <w:sz w:val="21"/>
              </w:rPr>
              <w:t>% Retained Year 1 to Year 2</w:t>
            </w:r>
          </w:p>
        </w:tc>
      </w:tr>
      <w:tr>
        <w:trPr>
          <w:trHeight w:val="263" w:hRule="atLeast"/>
        </w:trPr>
        <w:tc>
          <w:tcPr>
            <w:tcW w:w="2942" w:type="dxa"/>
          </w:tcPr>
          <w:p>
            <w:pPr>
              <w:pStyle w:val="TableParagraph"/>
              <w:ind w:left="105"/>
              <w:jc w:val="left"/>
              <w:rPr>
                <w:sz w:val="22"/>
              </w:rPr>
            </w:pPr>
            <w:r>
              <w:rPr>
                <w:sz w:val="22"/>
              </w:rPr>
              <w:t>Spirit</w:t>
            </w:r>
            <w:r>
              <w:rPr>
                <w:spacing w:val="-6"/>
                <w:sz w:val="22"/>
              </w:rPr>
              <w:t> </w:t>
            </w:r>
            <w:r>
              <w:rPr>
                <w:sz w:val="22"/>
              </w:rPr>
              <w:t>Strong</w:t>
            </w:r>
            <w:r>
              <w:rPr>
                <w:spacing w:val="-6"/>
                <w:sz w:val="22"/>
              </w:rPr>
              <w:t> </w:t>
            </w:r>
            <w:r>
              <w:rPr>
                <w:spacing w:val="-2"/>
                <w:sz w:val="22"/>
              </w:rPr>
              <w:t>Scholars</w:t>
            </w:r>
          </w:p>
        </w:tc>
        <w:tc>
          <w:tcPr>
            <w:tcW w:w="1560" w:type="dxa"/>
          </w:tcPr>
          <w:p>
            <w:pPr>
              <w:pStyle w:val="TableParagraph"/>
              <w:ind w:right="97"/>
              <w:rPr>
                <w:sz w:val="22"/>
              </w:rPr>
            </w:pPr>
            <w:r>
              <w:rPr>
                <w:spacing w:val="-5"/>
                <w:sz w:val="22"/>
              </w:rPr>
              <w:t>30</w:t>
            </w:r>
          </w:p>
        </w:tc>
        <w:tc>
          <w:tcPr>
            <w:tcW w:w="1555" w:type="dxa"/>
          </w:tcPr>
          <w:p>
            <w:pPr>
              <w:pStyle w:val="TableParagraph"/>
              <w:ind w:right="97"/>
              <w:rPr>
                <w:sz w:val="22"/>
              </w:rPr>
            </w:pPr>
            <w:r>
              <w:rPr>
                <w:spacing w:val="-5"/>
                <w:sz w:val="22"/>
              </w:rPr>
              <w:t>21</w:t>
            </w:r>
          </w:p>
        </w:tc>
        <w:tc>
          <w:tcPr>
            <w:tcW w:w="1963" w:type="dxa"/>
          </w:tcPr>
          <w:p>
            <w:pPr>
              <w:pStyle w:val="TableParagraph"/>
              <w:ind w:right="94"/>
              <w:rPr>
                <w:sz w:val="22"/>
              </w:rPr>
            </w:pPr>
            <w:r>
              <w:rPr>
                <w:spacing w:val="-4"/>
                <w:sz w:val="22"/>
              </w:rPr>
              <w:t>76.7%</w:t>
            </w:r>
          </w:p>
        </w:tc>
      </w:tr>
      <w:tr>
        <w:trPr>
          <w:trHeight w:val="263" w:hRule="atLeast"/>
        </w:trPr>
        <w:tc>
          <w:tcPr>
            <w:tcW w:w="2942" w:type="dxa"/>
          </w:tcPr>
          <w:p>
            <w:pPr>
              <w:pStyle w:val="TableParagraph"/>
              <w:ind w:left="105"/>
              <w:jc w:val="left"/>
              <w:rPr>
                <w:sz w:val="22"/>
              </w:rPr>
            </w:pPr>
            <w:r>
              <w:rPr>
                <w:sz w:val="22"/>
              </w:rPr>
              <w:t>CoE</w:t>
            </w:r>
            <w:r>
              <w:rPr>
                <w:spacing w:val="-8"/>
                <w:sz w:val="22"/>
              </w:rPr>
              <w:t> </w:t>
            </w:r>
            <w:r>
              <w:rPr>
                <w:sz w:val="22"/>
              </w:rPr>
              <w:t>Under-served</w:t>
            </w:r>
            <w:r>
              <w:rPr>
                <w:spacing w:val="-7"/>
                <w:sz w:val="22"/>
              </w:rPr>
              <w:t> </w:t>
            </w:r>
            <w:r>
              <w:rPr>
                <w:spacing w:val="-2"/>
                <w:sz w:val="22"/>
              </w:rPr>
              <w:t>Students</w:t>
            </w:r>
          </w:p>
        </w:tc>
        <w:tc>
          <w:tcPr>
            <w:tcW w:w="1560" w:type="dxa"/>
          </w:tcPr>
          <w:p>
            <w:pPr>
              <w:pStyle w:val="TableParagraph"/>
              <w:ind w:right="97"/>
              <w:rPr>
                <w:sz w:val="22"/>
              </w:rPr>
            </w:pPr>
            <w:r>
              <w:rPr>
                <w:spacing w:val="-5"/>
                <w:sz w:val="22"/>
              </w:rPr>
              <w:t>209</w:t>
            </w:r>
          </w:p>
        </w:tc>
        <w:tc>
          <w:tcPr>
            <w:tcW w:w="1555" w:type="dxa"/>
          </w:tcPr>
          <w:p>
            <w:pPr>
              <w:pStyle w:val="TableParagraph"/>
              <w:ind w:right="96"/>
              <w:rPr>
                <w:sz w:val="22"/>
              </w:rPr>
            </w:pPr>
            <w:r>
              <w:rPr>
                <w:spacing w:val="-5"/>
                <w:sz w:val="22"/>
              </w:rPr>
              <w:t>132</w:t>
            </w:r>
          </w:p>
        </w:tc>
        <w:tc>
          <w:tcPr>
            <w:tcW w:w="1963" w:type="dxa"/>
          </w:tcPr>
          <w:p>
            <w:pPr>
              <w:pStyle w:val="TableParagraph"/>
              <w:ind w:right="94"/>
              <w:rPr>
                <w:sz w:val="22"/>
              </w:rPr>
            </w:pPr>
            <w:r>
              <w:rPr>
                <w:spacing w:val="-2"/>
                <w:sz w:val="22"/>
              </w:rPr>
              <w:t>53.1%</w:t>
            </w:r>
          </w:p>
        </w:tc>
      </w:tr>
    </w:tbl>
    <w:p>
      <w:pPr>
        <w:pStyle w:val="BodyText"/>
        <w:rPr>
          <w:sz w:val="20"/>
        </w:rPr>
      </w:pPr>
    </w:p>
    <w:p>
      <w:pPr>
        <w:pStyle w:val="BodyText"/>
        <w:rPr>
          <w:sz w:val="20"/>
        </w:rPr>
      </w:pPr>
    </w:p>
    <w:p>
      <w:pPr>
        <w:pStyle w:val="BodyText"/>
        <w:spacing w:before="3"/>
        <w:rPr>
          <w:sz w:val="20"/>
        </w:rPr>
      </w:pPr>
    </w:p>
    <w:p>
      <w:pPr>
        <w:pStyle w:val="Heading1"/>
        <w:spacing w:before="111"/>
      </w:pPr>
      <w:r>
        <w:rPr>
          <w:w w:val="80"/>
        </w:rPr>
        <w:t>Wallace</w:t>
      </w:r>
      <w:r>
        <w:rPr>
          <w:spacing w:val="-10"/>
        </w:rPr>
        <w:t> </w:t>
      </w:r>
      <w:r>
        <w:rPr>
          <w:w w:val="80"/>
        </w:rPr>
        <w:t>Invitational</w:t>
      </w:r>
      <w:r>
        <w:rPr>
          <w:spacing w:val="-10"/>
        </w:rPr>
        <w:t> </w:t>
      </w:r>
      <w:r>
        <w:rPr>
          <w:w w:val="80"/>
        </w:rPr>
        <w:t>for</w:t>
      </w:r>
      <w:r>
        <w:rPr>
          <w:spacing w:val="-9"/>
        </w:rPr>
        <w:t> </w:t>
      </w:r>
      <w:r>
        <w:rPr>
          <w:w w:val="80"/>
        </w:rPr>
        <w:t>Scholarships</w:t>
      </w:r>
      <w:r>
        <w:rPr>
          <w:spacing w:val="-10"/>
        </w:rPr>
        <w:t> </w:t>
      </w:r>
      <w:r>
        <w:rPr>
          <w:w w:val="80"/>
        </w:rPr>
        <w:t>in</w:t>
      </w:r>
      <w:r>
        <w:rPr>
          <w:spacing w:val="-9"/>
        </w:rPr>
        <w:t> </w:t>
      </w:r>
      <w:r>
        <w:rPr>
          <w:w w:val="80"/>
        </w:rPr>
        <w:t>Engineering/Wallace</w:t>
      </w:r>
      <w:r>
        <w:rPr>
          <w:spacing w:val="-10"/>
        </w:rPr>
        <w:t> </w:t>
      </w:r>
      <w:r>
        <w:rPr>
          <w:spacing w:val="-2"/>
          <w:w w:val="80"/>
        </w:rPr>
        <w:t>Scholars</w:t>
      </w:r>
    </w:p>
    <w:p>
      <w:pPr>
        <w:spacing w:after="0"/>
        <w:sectPr>
          <w:pgSz w:w="12240" w:h="15840"/>
          <w:pgMar w:header="1464" w:footer="1245" w:top="2100" w:bottom="1440" w:left="1340" w:right="1220"/>
        </w:sectPr>
      </w:pPr>
    </w:p>
    <w:p>
      <w:pPr>
        <w:pStyle w:val="BodyText"/>
        <w:rPr>
          <w:rFonts w:ascii="Calibri"/>
          <w:b/>
          <w:sz w:val="20"/>
        </w:rPr>
      </w:pPr>
    </w:p>
    <w:p>
      <w:pPr>
        <w:pStyle w:val="BodyText"/>
        <w:rPr>
          <w:rFonts w:ascii="Calibri"/>
          <w:b/>
        </w:rPr>
      </w:pPr>
    </w:p>
    <w:p>
      <w:pPr>
        <w:pStyle w:val="Heading2"/>
      </w:pPr>
      <w:r>
        <w:rPr/>
        <w:drawing>
          <wp:anchor distT="0" distB="0" distL="0" distR="0" allowOverlap="1" layoutInCell="1" locked="0" behindDoc="0" simplePos="0" relativeHeight="15729664">
            <wp:simplePos x="0" y="0"/>
            <wp:positionH relativeFrom="page">
              <wp:posOffset>4638040</wp:posOffset>
            </wp:positionH>
            <wp:positionV relativeFrom="paragraph">
              <wp:posOffset>195328</wp:posOffset>
            </wp:positionV>
            <wp:extent cx="2184400" cy="2184399"/>
            <wp:effectExtent l="0" t="0" r="0" b="0"/>
            <wp:wrapNone/>
            <wp:docPr id="7" name="Image 7"/>
            <wp:cNvGraphicFramePr>
              <a:graphicFrameLocks/>
            </wp:cNvGraphicFramePr>
            <a:graphic>
              <a:graphicData uri="http://schemas.openxmlformats.org/drawingml/2006/picture">
                <pic:pic>
                  <pic:nvPicPr>
                    <pic:cNvPr id="7" name="Image 7"/>
                    <pic:cNvPicPr/>
                  </pic:nvPicPr>
                  <pic:blipFill>
                    <a:blip r:embed="rId11" cstate="print"/>
                    <a:stretch>
                      <a:fillRect/>
                    </a:stretch>
                  </pic:blipFill>
                  <pic:spPr>
                    <a:xfrm>
                      <a:off x="0" y="0"/>
                      <a:ext cx="2184400" cy="2184399"/>
                    </a:xfrm>
                    <a:prstGeom prst="rect">
                      <a:avLst/>
                    </a:prstGeom>
                  </pic:spPr>
                </pic:pic>
              </a:graphicData>
            </a:graphic>
          </wp:anchor>
        </w:drawing>
      </w:r>
      <w:r>
        <w:rPr>
          <w:spacing w:val="-2"/>
          <w:w w:val="85"/>
        </w:rPr>
        <w:t>Overview</w:t>
      </w:r>
    </w:p>
    <w:p>
      <w:pPr>
        <w:pStyle w:val="BodyText"/>
        <w:spacing w:before="178"/>
        <w:ind w:left="1545" w:right="3927"/>
      </w:pPr>
      <w:r>
        <w:rPr/>
        <w:t>Each fall in November, the College of Engineering hosts the Wallace Invitational for Scholarships in Engineering, a scholarship competition for eligible high school seniors that is used to select our next incoming freshman class of Wallace Scholars. The Wallace Scholars program is the longest- standing and most prestigious scholar program</w:t>
      </w:r>
      <w:r>
        <w:rPr>
          <w:spacing w:val="-7"/>
        </w:rPr>
        <w:t> </w:t>
      </w:r>
      <w:r>
        <w:rPr/>
        <w:t>in</w:t>
      </w:r>
      <w:r>
        <w:rPr>
          <w:spacing w:val="-7"/>
        </w:rPr>
        <w:t> </w:t>
      </w:r>
      <w:r>
        <w:rPr/>
        <w:t>the</w:t>
      </w:r>
      <w:r>
        <w:rPr>
          <w:spacing w:val="-7"/>
        </w:rPr>
        <w:t> </w:t>
      </w:r>
      <w:r>
        <w:rPr/>
        <w:t>College</w:t>
      </w:r>
      <w:r>
        <w:rPr>
          <w:spacing w:val="-7"/>
        </w:rPr>
        <w:t> </w:t>
      </w:r>
      <w:r>
        <w:rPr/>
        <w:t>of</w:t>
      </w:r>
      <w:r>
        <w:rPr>
          <w:spacing w:val="-7"/>
        </w:rPr>
        <w:t> </w:t>
      </w:r>
      <w:r>
        <w:rPr/>
        <w:t>Engineering.</w:t>
      </w:r>
      <w:r>
        <w:rPr>
          <w:spacing w:val="-7"/>
        </w:rPr>
        <w:t> </w:t>
      </w:r>
      <w:r>
        <w:rPr/>
        <w:t>Wallace Scholars receive a $28,500 Wallace Scholarship package to attend WSU. Winners are announced in February each year.</w:t>
      </w:r>
    </w:p>
    <w:p>
      <w:pPr>
        <w:pStyle w:val="Heading2"/>
        <w:spacing w:before="138"/>
      </w:pPr>
      <w:r>
        <w:rPr>
          <w:w w:val="85"/>
        </w:rPr>
        <w:t>Fall</w:t>
      </w:r>
      <w:r>
        <w:rPr>
          <w:spacing w:val="-6"/>
          <w:w w:val="95"/>
        </w:rPr>
        <w:t> </w:t>
      </w:r>
      <w:r>
        <w:rPr>
          <w:spacing w:val="-4"/>
          <w:w w:val="95"/>
        </w:rPr>
        <w:t>2022</w:t>
      </w:r>
    </w:p>
    <w:p>
      <w:pPr>
        <w:pStyle w:val="BodyText"/>
        <w:spacing w:line="259" w:lineRule="auto" w:before="178"/>
        <w:ind w:left="1545" w:right="207"/>
      </w:pPr>
      <w:r>
        <w:rPr/>
        <w:t>This year, the Engineering Student Success Center (ESSC) made intentional efforts to select an incoming class of scholars that both met the high standards for the Wallace program and represent the diversity of the College of Engineering student body. Based on</w:t>
      </w:r>
      <w:r>
        <w:rPr>
          <w:spacing w:val="-3"/>
        </w:rPr>
        <w:t> </w:t>
      </w:r>
      <w:r>
        <w:rPr/>
        <w:t>these</w:t>
      </w:r>
      <w:r>
        <w:rPr>
          <w:spacing w:val="-3"/>
        </w:rPr>
        <w:t> </w:t>
      </w:r>
      <w:r>
        <w:rPr/>
        <w:t>purposeful</w:t>
      </w:r>
      <w:r>
        <w:rPr>
          <w:spacing w:val="-3"/>
        </w:rPr>
        <w:t> </w:t>
      </w:r>
      <w:r>
        <w:rPr/>
        <w:t>efforts</w:t>
      </w:r>
      <w:r>
        <w:rPr>
          <w:spacing w:val="-3"/>
        </w:rPr>
        <w:t> </w:t>
      </w:r>
      <w:r>
        <w:rPr/>
        <w:t>to</w:t>
      </w:r>
      <w:r>
        <w:rPr>
          <w:spacing w:val="-3"/>
        </w:rPr>
        <w:t> </w:t>
      </w:r>
      <w:r>
        <w:rPr/>
        <w:t>support</w:t>
      </w:r>
      <w:r>
        <w:rPr>
          <w:spacing w:val="-3"/>
        </w:rPr>
        <w:t> </w:t>
      </w:r>
      <w:r>
        <w:rPr/>
        <w:t>diversity</w:t>
      </w:r>
      <w:r>
        <w:rPr>
          <w:spacing w:val="-3"/>
        </w:rPr>
        <w:t> </w:t>
      </w:r>
      <w:r>
        <w:rPr/>
        <w:t>and</w:t>
      </w:r>
      <w:r>
        <w:rPr>
          <w:spacing w:val="-3"/>
        </w:rPr>
        <w:t> </w:t>
      </w:r>
      <w:r>
        <w:rPr/>
        <w:t>equity,</w:t>
      </w:r>
      <w:r>
        <w:rPr>
          <w:spacing w:val="-3"/>
        </w:rPr>
        <w:t> </w:t>
      </w:r>
      <w:r>
        <w:rPr/>
        <w:t>the</w:t>
      </w:r>
      <w:r>
        <w:rPr>
          <w:spacing w:val="-3"/>
        </w:rPr>
        <w:t> </w:t>
      </w:r>
      <w:r>
        <w:rPr/>
        <w:t>college</w:t>
      </w:r>
      <w:r>
        <w:rPr>
          <w:spacing w:val="-3"/>
        </w:rPr>
        <w:t> </w:t>
      </w:r>
      <w:r>
        <w:rPr/>
        <w:t>named</w:t>
      </w:r>
      <w:r>
        <w:rPr>
          <w:spacing w:val="-3"/>
        </w:rPr>
        <w:t> </w:t>
      </w:r>
      <w:r>
        <w:rPr/>
        <w:t>the</w:t>
      </w:r>
      <w:r>
        <w:rPr>
          <w:spacing w:val="-3"/>
        </w:rPr>
        <w:t> </w:t>
      </w:r>
      <w:r>
        <w:rPr/>
        <w:t>most diverse incoming freshman class in the program’s 47-year history. Of the 10 students selected, there were seven women, three Black, three Hispanic, two American Indian/Alaska Native, and three first-generation college students.</w:t>
      </w:r>
    </w:p>
    <w:p>
      <w:pPr>
        <w:pStyle w:val="BodyText"/>
        <w:rPr>
          <w:sz w:val="26"/>
        </w:rPr>
      </w:pPr>
    </w:p>
    <w:p>
      <w:pPr>
        <w:pStyle w:val="BodyText"/>
        <w:spacing w:before="7"/>
        <w:rPr>
          <w:sz w:val="21"/>
        </w:rPr>
      </w:pPr>
    </w:p>
    <w:p>
      <w:pPr>
        <w:spacing w:before="0"/>
        <w:ind w:left="105" w:right="0" w:firstLine="0"/>
        <w:jc w:val="left"/>
        <w:rPr>
          <w:rFonts w:ascii="Calibri"/>
          <w:b/>
          <w:sz w:val="36"/>
        </w:rPr>
      </w:pPr>
      <w:r>
        <w:rPr>
          <w:rFonts w:ascii="Calibri"/>
          <w:b/>
          <w:w w:val="80"/>
          <w:sz w:val="36"/>
        </w:rPr>
        <w:t>Inclusive</w:t>
      </w:r>
      <w:r>
        <w:rPr>
          <w:rFonts w:ascii="Calibri"/>
          <w:b/>
          <w:spacing w:val="-8"/>
          <w:sz w:val="36"/>
        </w:rPr>
        <w:t> </w:t>
      </w:r>
      <w:r>
        <w:rPr>
          <w:rFonts w:ascii="Calibri"/>
          <w:b/>
          <w:w w:val="80"/>
          <w:sz w:val="36"/>
        </w:rPr>
        <w:t>Student</w:t>
      </w:r>
      <w:r>
        <w:rPr>
          <w:rFonts w:ascii="Calibri"/>
          <w:b/>
          <w:spacing w:val="-6"/>
          <w:sz w:val="36"/>
        </w:rPr>
        <w:t> </w:t>
      </w:r>
      <w:r>
        <w:rPr>
          <w:rFonts w:ascii="Calibri"/>
          <w:b/>
          <w:spacing w:val="-2"/>
          <w:w w:val="80"/>
          <w:sz w:val="36"/>
        </w:rPr>
        <w:t>Organizations</w:t>
      </w:r>
    </w:p>
    <w:p>
      <w:pPr>
        <w:pStyle w:val="BodyText"/>
        <w:spacing w:line="259" w:lineRule="auto" w:before="219"/>
        <w:ind w:left="105" w:right="277"/>
      </w:pPr>
      <w:r>
        <w:rPr/>
        <w:t>In</w:t>
      </w:r>
      <w:r>
        <w:rPr>
          <w:spacing w:val="-3"/>
        </w:rPr>
        <w:t> </w:t>
      </w:r>
      <w:r>
        <w:rPr/>
        <w:t>the</w:t>
      </w:r>
      <w:r>
        <w:rPr>
          <w:spacing w:val="-3"/>
        </w:rPr>
        <w:t> </w:t>
      </w:r>
      <w:r>
        <w:rPr/>
        <w:t>academic</w:t>
      </w:r>
      <w:r>
        <w:rPr>
          <w:spacing w:val="-3"/>
        </w:rPr>
        <w:t> </w:t>
      </w:r>
      <w:r>
        <w:rPr/>
        <w:t>year</w:t>
      </w:r>
      <w:r>
        <w:rPr>
          <w:spacing w:val="-3"/>
        </w:rPr>
        <w:t> </w:t>
      </w:r>
      <w:r>
        <w:rPr/>
        <w:t>2022-23,</w:t>
      </w:r>
      <w:r>
        <w:rPr>
          <w:spacing w:val="-3"/>
        </w:rPr>
        <w:t> </w:t>
      </w:r>
      <w:r>
        <w:rPr/>
        <w:t>the</w:t>
      </w:r>
      <w:r>
        <w:rPr>
          <w:spacing w:val="-3"/>
        </w:rPr>
        <w:t> </w:t>
      </w:r>
      <w:r>
        <w:rPr/>
        <w:t>College</w:t>
      </w:r>
      <w:r>
        <w:rPr>
          <w:spacing w:val="-3"/>
        </w:rPr>
        <w:t> </w:t>
      </w:r>
      <w:r>
        <w:rPr/>
        <w:t>of</w:t>
      </w:r>
      <w:r>
        <w:rPr>
          <w:spacing w:val="-3"/>
        </w:rPr>
        <w:t> </w:t>
      </w:r>
      <w:r>
        <w:rPr/>
        <w:t>Engineering</w:t>
      </w:r>
      <w:r>
        <w:rPr>
          <w:spacing w:val="-3"/>
        </w:rPr>
        <w:t> </w:t>
      </w:r>
      <w:r>
        <w:rPr/>
        <w:t>supported</w:t>
      </w:r>
      <w:r>
        <w:rPr>
          <w:spacing w:val="-3"/>
        </w:rPr>
        <w:t> </w:t>
      </w:r>
      <w:r>
        <w:rPr/>
        <w:t>SHPE:</w:t>
      </w:r>
      <w:r>
        <w:rPr>
          <w:spacing w:val="-3"/>
        </w:rPr>
        <w:t> </w:t>
      </w:r>
      <w:r>
        <w:rPr/>
        <w:t>Leading</w:t>
      </w:r>
      <w:r>
        <w:rPr>
          <w:spacing w:val="-3"/>
        </w:rPr>
        <w:t> </w:t>
      </w:r>
      <w:r>
        <w:rPr/>
        <w:t>Hispanics</w:t>
      </w:r>
      <w:r>
        <w:rPr>
          <w:spacing w:val="-3"/>
        </w:rPr>
        <w:t> </w:t>
      </w:r>
      <w:r>
        <w:rPr/>
        <w:t>in</w:t>
      </w:r>
      <w:r>
        <w:rPr>
          <w:spacing w:val="-3"/>
        </w:rPr>
        <w:t> </w:t>
      </w:r>
      <w:r>
        <w:rPr/>
        <w:t>STEM, the National Society of Black Engineering (NSBE), the Society of Women Engineers (SWE), the American Indian Science and Engineering Society (AISES) and Out in STEM (oSTEM) for the LGBTQ+ STEM</w:t>
      </w:r>
      <w:r>
        <w:rPr>
          <w:spacing w:val="-3"/>
        </w:rPr>
        <w:t> </w:t>
      </w:r>
      <w:r>
        <w:rPr/>
        <w:t>community.</w:t>
      </w:r>
      <w:r>
        <w:rPr>
          <w:spacing w:val="-3"/>
        </w:rPr>
        <w:t> </w:t>
      </w:r>
      <w:r>
        <w:rPr/>
        <w:t>(AISES</w:t>
      </w:r>
      <w:r>
        <w:rPr>
          <w:spacing w:val="-3"/>
        </w:rPr>
        <w:t> </w:t>
      </w:r>
      <w:r>
        <w:rPr/>
        <w:t>was</w:t>
      </w:r>
      <w:r>
        <w:rPr>
          <w:spacing w:val="-3"/>
        </w:rPr>
        <w:t> </w:t>
      </w:r>
      <w:r>
        <w:rPr/>
        <w:t>established</w:t>
      </w:r>
      <w:r>
        <w:rPr>
          <w:spacing w:val="-3"/>
        </w:rPr>
        <w:t> </w:t>
      </w:r>
      <w:r>
        <w:rPr/>
        <w:t>at</w:t>
      </w:r>
      <w:r>
        <w:rPr>
          <w:spacing w:val="-3"/>
        </w:rPr>
        <w:t> </w:t>
      </w:r>
      <w:r>
        <w:rPr/>
        <w:t>WSU</w:t>
      </w:r>
      <w:r>
        <w:rPr>
          <w:spacing w:val="-3"/>
        </w:rPr>
        <w:t> </w:t>
      </w:r>
      <w:r>
        <w:rPr/>
        <w:t>in</w:t>
      </w:r>
      <w:r>
        <w:rPr>
          <w:spacing w:val="-3"/>
        </w:rPr>
        <w:t> </w:t>
      </w:r>
      <w:r>
        <w:rPr/>
        <w:t>fall</w:t>
      </w:r>
      <w:r>
        <w:rPr>
          <w:spacing w:val="-3"/>
        </w:rPr>
        <w:t> </w:t>
      </w:r>
      <w:r>
        <w:rPr/>
        <w:t>2022,</w:t>
      </w:r>
      <w:r>
        <w:rPr>
          <w:spacing w:val="-3"/>
        </w:rPr>
        <w:t> </w:t>
      </w:r>
      <w:r>
        <w:rPr/>
        <w:t>and</w:t>
      </w:r>
      <w:r>
        <w:rPr>
          <w:spacing w:val="-3"/>
        </w:rPr>
        <w:t> </w:t>
      </w:r>
      <w:r>
        <w:rPr/>
        <w:t>oSTEM</w:t>
      </w:r>
      <w:r>
        <w:rPr>
          <w:spacing w:val="-3"/>
        </w:rPr>
        <w:t> </w:t>
      </w:r>
      <w:r>
        <w:rPr/>
        <w:t>was</w:t>
      </w:r>
      <w:r>
        <w:rPr>
          <w:spacing w:val="-3"/>
        </w:rPr>
        <w:t> </w:t>
      </w:r>
      <w:r>
        <w:rPr/>
        <w:t>established</w:t>
      </w:r>
      <w:r>
        <w:rPr>
          <w:spacing w:val="-3"/>
        </w:rPr>
        <w:t> </w:t>
      </w:r>
      <w:r>
        <w:rPr/>
        <w:t>at</w:t>
      </w:r>
      <w:r>
        <w:rPr>
          <w:spacing w:val="-3"/>
        </w:rPr>
        <w:t> </w:t>
      </w:r>
      <w:r>
        <w:rPr/>
        <w:t>WSU</w:t>
      </w:r>
      <w:r>
        <w:rPr>
          <w:spacing w:val="-4"/>
        </w:rPr>
        <w:t> </w:t>
      </w:r>
      <w:r>
        <w:rPr/>
        <w:t>in spring 2022.)</w:t>
      </w:r>
    </w:p>
    <w:p>
      <w:pPr>
        <w:pStyle w:val="BodyText"/>
        <w:spacing w:line="259" w:lineRule="auto" w:before="158"/>
        <w:ind w:left="105" w:right="211"/>
      </w:pPr>
      <w:r>
        <w:rPr/>
        <w:t>The college provided financial and staff support to help students travel to national and regional conferences</w:t>
      </w:r>
      <w:r>
        <w:rPr>
          <w:spacing w:val="-3"/>
        </w:rPr>
        <w:t> </w:t>
      </w:r>
      <w:r>
        <w:rPr/>
        <w:t>and</w:t>
      </w:r>
      <w:r>
        <w:rPr>
          <w:spacing w:val="-3"/>
        </w:rPr>
        <w:t> </w:t>
      </w:r>
      <w:r>
        <w:rPr/>
        <w:t>to</w:t>
      </w:r>
      <w:r>
        <w:rPr>
          <w:spacing w:val="-3"/>
        </w:rPr>
        <w:t> </w:t>
      </w:r>
      <w:r>
        <w:rPr/>
        <w:t>execute</w:t>
      </w:r>
      <w:r>
        <w:rPr>
          <w:spacing w:val="-3"/>
        </w:rPr>
        <w:t> </w:t>
      </w:r>
      <w:r>
        <w:rPr/>
        <w:t>the</w:t>
      </w:r>
      <w:r>
        <w:rPr>
          <w:spacing w:val="-3"/>
        </w:rPr>
        <w:t> </w:t>
      </w:r>
      <w:r>
        <w:rPr/>
        <w:t>groups’</w:t>
      </w:r>
      <w:r>
        <w:rPr>
          <w:spacing w:val="-3"/>
        </w:rPr>
        <w:t> </w:t>
      </w:r>
      <w:r>
        <w:rPr/>
        <w:t>signature</w:t>
      </w:r>
      <w:r>
        <w:rPr>
          <w:spacing w:val="-3"/>
        </w:rPr>
        <w:t> </w:t>
      </w:r>
      <w:r>
        <w:rPr/>
        <w:t>or</w:t>
      </w:r>
      <w:r>
        <w:rPr>
          <w:spacing w:val="-3"/>
        </w:rPr>
        <w:t> </w:t>
      </w:r>
      <w:r>
        <w:rPr/>
        <w:t>joint</w:t>
      </w:r>
      <w:r>
        <w:rPr>
          <w:spacing w:val="-3"/>
        </w:rPr>
        <w:t> </w:t>
      </w:r>
      <w:r>
        <w:rPr/>
        <w:t>events,</w:t>
      </w:r>
      <w:r>
        <w:rPr>
          <w:spacing w:val="-3"/>
        </w:rPr>
        <w:t> </w:t>
      </w:r>
      <w:r>
        <w:rPr/>
        <w:t>including</w:t>
      </w:r>
      <w:r>
        <w:rPr>
          <w:spacing w:val="-3"/>
        </w:rPr>
        <w:t> </w:t>
      </w:r>
      <w:r>
        <w:rPr/>
        <w:t>Hispanic</w:t>
      </w:r>
      <w:r>
        <w:rPr>
          <w:spacing w:val="-3"/>
        </w:rPr>
        <w:t> </w:t>
      </w:r>
      <w:r>
        <w:rPr/>
        <w:t>Heritage</w:t>
      </w:r>
      <w:r>
        <w:rPr>
          <w:spacing w:val="-3"/>
        </w:rPr>
        <w:t> </w:t>
      </w:r>
      <w:r>
        <w:rPr/>
        <w:t>Month, Black History Month, Native American History Month, Women’s History Month, Friendsgiving, Valentine’s Social and Inclusive Graduation Celebration. The groups received the 2022-2023 Commitment to Connectedness Award from the Office of Student Engagement, Advocacy and Leadership (SEAL) for their Friendsgiving event.</w:t>
      </w:r>
    </w:p>
    <w:p>
      <w:pPr>
        <w:spacing w:after="0" w:line="259" w:lineRule="auto"/>
        <w:sectPr>
          <w:pgSz w:w="12240" w:h="15840"/>
          <w:pgMar w:header="1464" w:footer="1245" w:top="2100" w:bottom="1440" w:left="1340" w:right="1220"/>
        </w:sectPr>
      </w:pPr>
    </w:p>
    <w:p>
      <w:pPr>
        <w:pStyle w:val="BodyText"/>
        <w:rPr>
          <w:sz w:val="20"/>
        </w:rPr>
      </w:pPr>
    </w:p>
    <w:p>
      <w:pPr>
        <w:pStyle w:val="BodyText"/>
        <w:spacing w:before="3"/>
        <w:rPr>
          <w:sz w:val="23"/>
        </w:rPr>
      </w:pPr>
    </w:p>
    <w:p>
      <w:pPr>
        <w:pStyle w:val="BodyText"/>
        <w:spacing w:line="259" w:lineRule="auto" w:before="120"/>
        <w:ind w:left="105" w:right="277"/>
      </w:pPr>
      <w:r>
        <w:rPr/>
        <w:t>The</w:t>
      </w:r>
      <w:r>
        <w:rPr>
          <w:spacing w:val="-3"/>
        </w:rPr>
        <w:t> </w:t>
      </w:r>
      <w:r>
        <w:rPr/>
        <w:t>inclusive</w:t>
      </w:r>
      <w:r>
        <w:rPr>
          <w:spacing w:val="-3"/>
        </w:rPr>
        <w:t> </w:t>
      </w:r>
      <w:r>
        <w:rPr/>
        <w:t>engineering</w:t>
      </w:r>
      <w:r>
        <w:rPr>
          <w:spacing w:val="-3"/>
        </w:rPr>
        <w:t> </w:t>
      </w:r>
      <w:r>
        <w:rPr/>
        <w:t>student</w:t>
      </w:r>
      <w:r>
        <w:rPr>
          <w:spacing w:val="-3"/>
        </w:rPr>
        <w:t> </w:t>
      </w:r>
      <w:r>
        <w:rPr/>
        <w:t>organizations</w:t>
      </w:r>
      <w:r>
        <w:rPr>
          <w:spacing w:val="-3"/>
        </w:rPr>
        <w:t> </w:t>
      </w:r>
      <w:r>
        <w:rPr/>
        <w:t>are</w:t>
      </w:r>
      <w:r>
        <w:rPr>
          <w:spacing w:val="-3"/>
        </w:rPr>
        <w:t> </w:t>
      </w:r>
      <w:r>
        <w:rPr/>
        <w:t>advised</w:t>
      </w:r>
      <w:r>
        <w:rPr>
          <w:spacing w:val="-3"/>
        </w:rPr>
        <w:t> </w:t>
      </w:r>
      <w:r>
        <w:rPr/>
        <w:t>by</w:t>
      </w:r>
      <w:r>
        <w:rPr>
          <w:spacing w:val="-2"/>
        </w:rPr>
        <w:t> </w:t>
      </w:r>
      <w:r>
        <w:rPr/>
        <w:t>EESC</w:t>
      </w:r>
      <w:r>
        <w:rPr>
          <w:spacing w:val="-3"/>
        </w:rPr>
        <w:t> </w:t>
      </w:r>
      <w:r>
        <w:rPr/>
        <w:t>staff</w:t>
      </w:r>
      <w:r>
        <w:rPr>
          <w:spacing w:val="-3"/>
        </w:rPr>
        <w:t> </w:t>
      </w:r>
      <w:r>
        <w:rPr/>
        <w:t>who</w:t>
      </w:r>
      <w:r>
        <w:rPr>
          <w:spacing w:val="-3"/>
        </w:rPr>
        <w:t> </w:t>
      </w:r>
      <w:r>
        <w:rPr/>
        <w:t>dedicate</w:t>
      </w:r>
      <w:r>
        <w:rPr>
          <w:spacing w:val="-3"/>
        </w:rPr>
        <w:t> </w:t>
      </w:r>
      <w:r>
        <w:rPr/>
        <w:t>time</w:t>
      </w:r>
      <w:r>
        <w:rPr>
          <w:spacing w:val="-3"/>
        </w:rPr>
        <w:t> </w:t>
      </w:r>
      <w:r>
        <w:rPr/>
        <w:t>helping the groups to fundraise, develop programs, transition officers, travel to conferences, connect with resources, recruit, establish personal connections, etc.</w:t>
      </w:r>
    </w:p>
    <w:p>
      <w:pPr>
        <w:pStyle w:val="BodyText"/>
        <w:rPr>
          <w:sz w:val="26"/>
        </w:rPr>
      </w:pPr>
    </w:p>
    <w:p>
      <w:pPr>
        <w:spacing w:line="376" w:lineRule="exact" w:before="216"/>
        <w:ind w:left="825" w:right="0" w:firstLine="0"/>
        <w:jc w:val="left"/>
        <w:rPr>
          <w:rFonts w:ascii="Klavika Light Condensed Italic"/>
          <w:i/>
          <w:sz w:val="32"/>
        </w:rPr>
      </w:pPr>
      <w:r>
        <w:rPr>
          <w:rFonts w:ascii="Klavika Light Condensed Italic"/>
          <w:i/>
          <w:spacing w:val="-2"/>
          <w:sz w:val="32"/>
        </w:rPr>
        <w:t>Featured:</w:t>
      </w:r>
    </w:p>
    <w:p>
      <w:pPr>
        <w:pStyle w:val="Heading1"/>
        <w:spacing w:line="235" w:lineRule="auto"/>
      </w:pPr>
      <w:r>
        <w:rPr>
          <w:w w:val="80"/>
        </w:rPr>
        <w:t>SHPE: Leading Hispanics in STEM (Formerly: Society of Hispanic Professional </w:t>
      </w:r>
      <w:r>
        <w:rPr>
          <w:spacing w:val="-2"/>
          <w:w w:val="90"/>
        </w:rPr>
        <w:t>Engineers)</w:t>
      </w:r>
    </w:p>
    <w:p>
      <w:pPr>
        <w:pStyle w:val="Heading2"/>
        <w:spacing w:before="162"/>
      </w:pPr>
      <w:r>
        <w:rPr>
          <w:spacing w:val="-2"/>
          <w:w w:val="85"/>
        </w:rPr>
        <w:t>Overview</w:t>
      </w:r>
    </w:p>
    <w:p>
      <w:pPr>
        <w:pStyle w:val="BodyText"/>
        <w:spacing w:before="178"/>
        <w:ind w:left="1545"/>
      </w:pPr>
      <w:r>
        <w:rPr/>
        <w:t>SHPE:</w:t>
      </w:r>
      <w:r>
        <w:rPr>
          <w:spacing w:val="-3"/>
        </w:rPr>
        <w:t> </w:t>
      </w:r>
      <w:r>
        <w:rPr/>
        <w:t>Leading</w:t>
      </w:r>
      <w:r>
        <w:rPr>
          <w:spacing w:val="-3"/>
        </w:rPr>
        <w:t> </w:t>
      </w:r>
      <w:r>
        <w:rPr/>
        <w:t>Hispanics</w:t>
      </w:r>
      <w:r>
        <w:rPr>
          <w:spacing w:val="-3"/>
        </w:rPr>
        <w:t> </w:t>
      </w:r>
      <w:r>
        <w:rPr/>
        <w:t>in</w:t>
      </w:r>
      <w:r>
        <w:rPr>
          <w:spacing w:val="-3"/>
        </w:rPr>
        <w:t> </w:t>
      </w:r>
      <w:r>
        <w:rPr/>
        <w:t>STEM</w:t>
      </w:r>
      <w:r>
        <w:rPr>
          <w:spacing w:val="-3"/>
        </w:rPr>
        <w:t> </w:t>
      </w:r>
      <w:r>
        <w:rPr/>
        <w:t>is</w:t>
      </w:r>
      <w:r>
        <w:rPr>
          <w:spacing w:val="-3"/>
        </w:rPr>
        <w:t> </w:t>
      </w:r>
      <w:r>
        <w:rPr/>
        <w:t>a</w:t>
      </w:r>
      <w:r>
        <w:rPr>
          <w:spacing w:val="-3"/>
        </w:rPr>
        <w:t> </w:t>
      </w:r>
      <w:r>
        <w:rPr/>
        <w:t>national</w:t>
      </w:r>
      <w:r>
        <w:rPr>
          <w:spacing w:val="-3"/>
        </w:rPr>
        <w:t> </w:t>
      </w:r>
      <w:r>
        <w:rPr/>
        <w:t>professional</w:t>
      </w:r>
      <w:r>
        <w:rPr>
          <w:spacing w:val="-3"/>
        </w:rPr>
        <w:t> </w:t>
      </w:r>
      <w:r>
        <w:rPr/>
        <w:t>society</w:t>
      </w:r>
      <w:r>
        <w:rPr>
          <w:spacing w:val="-3"/>
        </w:rPr>
        <w:t> </w:t>
      </w:r>
      <w:r>
        <w:rPr/>
        <w:t>whose</w:t>
      </w:r>
      <w:r>
        <w:rPr>
          <w:spacing w:val="-3"/>
        </w:rPr>
        <w:t> </w:t>
      </w:r>
      <w:r>
        <w:rPr/>
        <w:t>mission</w:t>
      </w:r>
      <w:r>
        <w:rPr>
          <w:spacing w:val="-3"/>
        </w:rPr>
        <w:t> </w:t>
      </w:r>
      <w:r>
        <w:rPr/>
        <w:t>is</w:t>
      </w:r>
      <w:r>
        <w:rPr>
          <w:spacing w:val="-3"/>
        </w:rPr>
        <w:t> </w:t>
      </w:r>
      <w:r>
        <w:rPr/>
        <w:t>to empower the Hispanic community in STEM.</w:t>
      </w:r>
    </w:p>
    <w:p>
      <w:pPr>
        <w:pStyle w:val="BodyText"/>
        <w:spacing w:before="5"/>
        <w:rPr>
          <w:sz w:val="20"/>
        </w:rPr>
      </w:pPr>
      <w:r>
        <w:rPr/>
        <w:drawing>
          <wp:anchor distT="0" distB="0" distL="0" distR="0" allowOverlap="1" layoutInCell="1" locked="0" behindDoc="1" simplePos="0" relativeHeight="487589376">
            <wp:simplePos x="0" y="0"/>
            <wp:positionH relativeFrom="page">
              <wp:posOffset>1844039</wp:posOffset>
            </wp:positionH>
            <wp:positionV relativeFrom="paragraph">
              <wp:posOffset>171255</wp:posOffset>
            </wp:positionV>
            <wp:extent cx="4950287" cy="3702367"/>
            <wp:effectExtent l="0" t="0" r="0" b="0"/>
            <wp:wrapTopAndBottom/>
            <wp:docPr id="8" name="Image 8"/>
            <wp:cNvGraphicFramePr>
              <a:graphicFrameLocks/>
            </wp:cNvGraphicFramePr>
            <a:graphic>
              <a:graphicData uri="http://schemas.openxmlformats.org/drawingml/2006/picture">
                <pic:pic>
                  <pic:nvPicPr>
                    <pic:cNvPr id="8" name="Image 8"/>
                    <pic:cNvPicPr/>
                  </pic:nvPicPr>
                  <pic:blipFill>
                    <a:blip r:embed="rId12" cstate="print"/>
                    <a:stretch>
                      <a:fillRect/>
                    </a:stretch>
                  </pic:blipFill>
                  <pic:spPr>
                    <a:xfrm>
                      <a:off x="0" y="0"/>
                      <a:ext cx="4950287" cy="3702367"/>
                    </a:xfrm>
                    <a:prstGeom prst="rect">
                      <a:avLst/>
                    </a:prstGeom>
                  </pic:spPr>
                </pic:pic>
              </a:graphicData>
            </a:graphic>
          </wp:anchor>
        </w:drawing>
      </w:r>
    </w:p>
    <w:p>
      <w:pPr>
        <w:pStyle w:val="BodyText"/>
        <w:spacing w:before="9"/>
        <w:rPr>
          <w:sz w:val="26"/>
        </w:rPr>
      </w:pPr>
    </w:p>
    <w:p>
      <w:pPr>
        <w:pStyle w:val="Heading2"/>
        <w:spacing w:before="0"/>
      </w:pPr>
      <w:r>
        <w:rPr>
          <w:w w:val="80"/>
        </w:rPr>
        <w:t>Academic</w:t>
      </w:r>
      <w:r>
        <w:rPr>
          <w:spacing w:val="-2"/>
          <w:w w:val="80"/>
        </w:rPr>
        <w:t> </w:t>
      </w:r>
      <w:r>
        <w:rPr>
          <w:w w:val="80"/>
        </w:rPr>
        <w:t>Year</w:t>
      </w:r>
      <w:r>
        <w:rPr>
          <w:spacing w:val="-2"/>
          <w:w w:val="80"/>
        </w:rPr>
        <w:t> </w:t>
      </w:r>
      <w:r>
        <w:rPr>
          <w:w w:val="80"/>
        </w:rPr>
        <w:t>2022-</w:t>
      </w:r>
      <w:r>
        <w:rPr>
          <w:spacing w:val="-5"/>
          <w:w w:val="80"/>
        </w:rPr>
        <w:t>23</w:t>
      </w:r>
    </w:p>
    <w:p>
      <w:pPr>
        <w:pStyle w:val="BodyText"/>
        <w:spacing w:before="283"/>
        <w:ind w:left="1545" w:right="277"/>
      </w:pPr>
      <w:r>
        <w:rPr/>
        <w:t>The</w:t>
      </w:r>
      <w:r>
        <w:rPr>
          <w:spacing w:val="-5"/>
        </w:rPr>
        <w:t> </w:t>
      </w:r>
      <w:r>
        <w:rPr/>
        <w:t>WSU</w:t>
      </w:r>
      <w:r>
        <w:rPr>
          <w:spacing w:val="-5"/>
        </w:rPr>
        <w:t> </w:t>
      </w:r>
      <w:r>
        <w:rPr/>
        <w:t>SHPE</w:t>
      </w:r>
      <w:r>
        <w:rPr>
          <w:spacing w:val="-5"/>
        </w:rPr>
        <w:t> </w:t>
      </w:r>
      <w:r>
        <w:rPr/>
        <w:t>collegiate</w:t>
      </w:r>
      <w:r>
        <w:rPr>
          <w:spacing w:val="-5"/>
        </w:rPr>
        <w:t> </w:t>
      </w:r>
      <w:r>
        <w:rPr/>
        <w:t>chapter</w:t>
      </w:r>
      <w:r>
        <w:rPr>
          <w:spacing w:val="-5"/>
        </w:rPr>
        <w:t> </w:t>
      </w:r>
      <w:r>
        <w:rPr/>
        <w:t>achieved</w:t>
      </w:r>
      <w:r>
        <w:rPr>
          <w:spacing w:val="-5"/>
        </w:rPr>
        <w:t> </w:t>
      </w:r>
      <w:r>
        <w:rPr/>
        <w:t>major</w:t>
      </w:r>
      <w:r>
        <w:rPr>
          <w:spacing w:val="-5"/>
        </w:rPr>
        <w:t> </w:t>
      </w:r>
      <w:r>
        <w:rPr/>
        <w:t>accomplishments</w:t>
      </w:r>
      <w:r>
        <w:rPr>
          <w:spacing w:val="-5"/>
        </w:rPr>
        <w:t> </w:t>
      </w:r>
      <w:r>
        <w:rPr/>
        <w:t>during</w:t>
      </w:r>
      <w:r>
        <w:rPr>
          <w:spacing w:val="-4"/>
        </w:rPr>
        <w:t> </w:t>
      </w:r>
      <w:r>
        <w:rPr/>
        <w:t>the academic year 2022-23.</w:t>
      </w:r>
    </w:p>
    <w:p>
      <w:pPr>
        <w:spacing w:after="0"/>
        <w:sectPr>
          <w:pgSz w:w="12240" w:h="15840"/>
          <w:pgMar w:header="1464" w:footer="1245" w:top="2100" w:bottom="1440" w:left="1340" w:right="1220"/>
        </w:sectPr>
      </w:pPr>
    </w:p>
    <w:p>
      <w:pPr>
        <w:pStyle w:val="BodyText"/>
        <w:rPr>
          <w:sz w:val="20"/>
        </w:rPr>
      </w:pPr>
    </w:p>
    <w:p>
      <w:pPr>
        <w:pStyle w:val="BodyText"/>
        <w:spacing w:before="1"/>
        <w:rPr>
          <w:sz w:val="24"/>
        </w:rPr>
      </w:pPr>
    </w:p>
    <w:p>
      <w:pPr>
        <w:spacing w:after="0"/>
        <w:rPr>
          <w:sz w:val="24"/>
        </w:rPr>
        <w:sectPr>
          <w:headerReference w:type="default" r:id="rId13"/>
          <w:footerReference w:type="default" r:id="rId14"/>
          <w:pgSz w:w="12240" w:h="15840"/>
          <w:pgMar w:header="1464" w:footer="1245" w:top="2100" w:bottom="1440" w:left="1340" w:right="1220"/>
        </w:sect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rPr>
          <w:sz w:val="36"/>
        </w:rPr>
      </w:pPr>
    </w:p>
    <w:p>
      <w:pPr>
        <w:pStyle w:val="BodyText"/>
        <w:spacing w:before="8"/>
        <w:rPr>
          <w:sz w:val="41"/>
        </w:rPr>
      </w:pPr>
    </w:p>
    <w:p>
      <w:pPr>
        <w:spacing w:line="357" w:lineRule="exact" w:before="0"/>
        <w:ind w:left="825" w:right="0" w:firstLine="0"/>
        <w:jc w:val="left"/>
        <w:rPr>
          <w:rFonts w:ascii="Klavika Light Condensed Italic"/>
          <w:i/>
          <w:sz w:val="32"/>
        </w:rPr>
      </w:pPr>
      <w:r>
        <w:rPr>
          <w:rFonts w:ascii="Klavika Light Condensed Italic"/>
          <w:i/>
          <w:spacing w:val="-2"/>
          <w:sz w:val="32"/>
        </w:rPr>
        <w:t>Featured:</w:t>
      </w:r>
    </w:p>
    <w:p>
      <w:pPr>
        <w:pStyle w:val="ListParagraph"/>
        <w:numPr>
          <w:ilvl w:val="0"/>
          <w:numId w:val="3"/>
        </w:numPr>
        <w:tabs>
          <w:tab w:pos="467" w:val="left" w:leader="none"/>
        </w:tabs>
        <w:spacing w:line="240" w:lineRule="auto" w:before="101" w:after="0"/>
        <w:ind w:left="467" w:right="471" w:hanging="360"/>
        <w:jc w:val="left"/>
        <w:rPr>
          <w:sz w:val="22"/>
        </w:rPr>
      </w:pPr>
      <w:r>
        <w:rPr/>
        <w:br w:type="column"/>
      </w:r>
      <w:r>
        <w:rPr>
          <w:sz w:val="22"/>
        </w:rPr>
        <w:t>They</w:t>
      </w:r>
      <w:r>
        <w:rPr>
          <w:spacing w:val="-4"/>
          <w:sz w:val="22"/>
        </w:rPr>
        <w:t> </w:t>
      </w:r>
      <w:r>
        <w:rPr>
          <w:sz w:val="22"/>
        </w:rPr>
        <w:t>increased</w:t>
      </w:r>
      <w:r>
        <w:rPr>
          <w:spacing w:val="-4"/>
          <w:sz w:val="22"/>
        </w:rPr>
        <w:t> </w:t>
      </w:r>
      <w:r>
        <w:rPr>
          <w:sz w:val="22"/>
        </w:rPr>
        <w:t>their</w:t>
      </w:r>
      <w:r>
        <w:rPr>
          <w:spacing w:val="-4"/>
          <w:sz w:val="22"/>
        </w:rPr>
        <w:t> </w:t>
      </w:r>
      <w:r>
        <w:rPr>
          <w:sz w:val="22"/>
        </w:rPr>
        <w:t>membership</w:t>
      </w:r>
      <w:r>
        <w:rPr>
          <w:spacing w:val="-4"/>
          <w:sz w:val="22"/>
        </w:rPr>
        <w:t> </w:t>
      </w:r>
      <w:r>
        <w:rPr>
          <w:sz w:val="22"/>
        </w:rPr>
        <w:t>from</w:t>
      </w:r>
      <w:r>
        <w:rPr>
          <w:spacing w:val="-4"/>
          <w:sz w:val="22"/>
        </w:rPr>
        <w:t> </w:t>
      </w:r>
      <w:r>
        <w:rPr>
          <w:sz w:val="22"/>
        </w:rPr>
        <w:t>a</w:t>
      </w:r>
      <w:r>
        <w:rPr>
          <w:spacing w:val="-4"/>
          <w:sz w:val="22"/>
        </w:rPr>
        <w:t> </w:t>
      </w:r>
      <w:r>
        <w:rPr>
          <w:sz w:val="22"/>
        </w:rPr>
        <w:t>consistent</w:t>
      </w:r>
      <w:r>
        <w:rPr>
          <w:spacing w:val="-4"/>
          <w:sz w:val="22"/>
        </w:rPr>
        <w:t> </w:t>
      </w:r>
      <w:r>
        <w:rPr>
          <w:sz w:val="22"/>
        </w:rPr>
        <w:t>30+</w:t>
      </w:r>
      <w:r>
        <w:rPr>
          <w:spacing w:val="-4"/>
          <w:sz w:val="22"/>
        </w:rPr>
        <w:t> </w:t>
      </w:r>
      <w:r>
        <w:rPr>
          <w:sz w:val="22"/>
        </w:rPr>
        <w:t>members</w:t>
      </w:r>
      <w:r>
        <w:rPr>
          <w:spacing w:val="-4"/>
          <w:sz w:val="22"/>
        </w:rPr>
        <w:t> </w:t>
      </w:r>
      <w:r>
        <w:rPr>
          <w:sz w:val="22"/>
        </w:rPr>
        <w:t>per</w:t>
      </w:r>
      <w:r>
        <w:rPr>
          <w:spacing w:val="-4"/>
          <w:sz w:val="22"/>
        </w:rPr>
        <w:t> </w:t>
      </w:r>
      <w:r>
        <w:rPr>
          <w:sz w:val="22"/>
        </w:rPr>
        <w:t>year</w:t>
      </w:r>
      <w:r>
        <w:rPr>
          <w:spacing w:val="-4"/>
          <w:sz w:val="22"/>
        </w:rPr>
        <w:t> </w:t>
      </w:r>
      <w:r>
        <w:rPr>
          <w:sz w:val="22"/>
        </w:rPr>
        <w:t>to 50+ members.</w:t>
      </w:r>
    </w:p>
    <w:p>
      <w:pPr>
        <w:pStyle w:val="ListParagraph"/>
        <w:numPr>
          <w:ilvl w:val="0"/>
          <w:numId w:val="3"/>
        </w:numPr>
        <w:tabs>
          <w:tab w:pos="466" w:val="left" w:leader="none"/>
        </w:tabs>
        <w:spacing w:line="274" w:lineRule="exact" w:before="0" w:after="0"/>
        <w:ind w:left="466" w:right="0" w:hanging="359"/>
        <w:jc w:val="left"/>
        <w:rPr>
          <w:sz w:val="22"/>
        </w:rPr>
      </w:pPr>
      <w:r>
        <w:rPr>
          <w:sz w:val="22"/>
        </w:rPr>
        <w:t>They</w:t>
      </w:r>
      <w:r>
        <w:rPr>
          <w:spacing w:val="-5"/>
          <w:sz w:val="22"/>
        </w:rPr>
        <w:t> </w:t>
      </w:r>
      <w:r>
        <w:rPr>
          <w:sz w:val="22"/>
        </w:rPr>
        <w:t>also</w:t>
      </w:r>
      <w:r>
        <w:rPr>
          <w:spacing w:val="-5"/>
          <w:sz w:val="22"/>
        </w:rPr>
        <w:t> </w:t>
      </w:r>
      <w:r>
        <w:rPr>
          <w:sz w:val="22"/>
        </w:rPr>
        <w:t>sent</w:t>
      </w:r>
      <w:r>
        <w:rPr>
          <w:spacing w:val="-5"/>
          <w:sz w:val="22"/>
        </w:rPr>
        <w:t> </w:t>
      </w:r>
      <w:r>
        <w:rPr>
          <w:sz w:val="22"/>
        </w:rPr>
        <w:t>a</w:t>
      </w:r>
      <w:r>
        <w:rPr>
          <w:spacing w:val="-5"/>
          <w:sz w:val="22"/>
        </w:rPr>
        <w:t> </w:t>
      </w:r>
      <w:r>
        <w:rPr>
          <w:sz w:val="22"/>
        </w:rPr>
        <w:t>record</w:t>
      </w:r>
      <w:r>
        <w:rPr>
          <w:spacing w:val="-5"/>
          <w:sz w:val="22"/>
        </w:rPr>
        <w:t> </w:t>
      </w:r>
      <w:r>
        <w:rPr>
          <w:sz w:val="22"/>
        </w:rPr>
        <w:t>number</w:t>
      </w:r>
      <w:r>
        <w:rPr>
          <w:spacing w:val="-5"/>
          <w:sz w:val="22"/>
        </w:rPr>
        <w:t> </w:t>
      </w:r>
      <w:r>
        <w:rPr>
          <w:sz w:val="22"/>
        </w:rPr>
        <w:t>of</w:t>
      </w:r>
      <w:r>
        <w:rPr>
          <w:spacing w:val="-5"/>
          <w:sz w:val="22"/>
        </w:rPr>
        <w:t> </w:t>
      </w:r>
      <w:r>
        <w:rPr>
          <w:sz w:val="22"/>
        </w:rPr>
        <w:t>representatives</w:t>
      </w:r>
      <w:r>
        <w:rPr>
          <w:spacing w:val="-5"/>
          <w:sz w:val="22"/>
        </w:rPr>
        <w:t> </w:t>
      </w:r>
      <w:r>
        <w:rPr>
          <w:sz w:val="22"/>
        </w:rPr>
        <w:t>to</w:t>
      </w:r>
      <w:r>
        <w:rPr>
          <w:spacing w:val="-5"/>
          <w:sz w:val="22"/>
        </w:rPr>
        <w:t> </w:t>
      </w:r>
      <w:r>
        <w:rPr>
          <w:sz w:val="22"/>
        </w:rPr>
        <w:t>the</w:t>
      </w:r>
      <w:r>
        <w:rPr>
          <w:spacing w:val="-5"/>
          <w:sz w:val="22"/>
        </w:rPr>
        <w:t> </w:t>
      </w:r>
      <w:r>
        <w:rPr>
          <w:sz w:val="22"/>
        </w:rPr>
        <w:t>National</w:t>
      </w:r>
      <w:r>
        <w:rPr>
          <w:spacing w:val="-4"/>
          <w:sz w:val="22"/>
        </w:rPr>
        <w:t> </w:t>
      </w:r>
      <w:r>
        <w:rPr>
          <w:spacing w:val="-2"/>
          <w:sz w:val="22"/>
        </w:rPr>
        <w:t>Convention</w:t>
      </w:r>
    </w:p>
    <w:p>
      <w:pPr>
        <w:pStyle w:val="BodyText"/>
        <w:ind w:left="467" w:right="306"/>
      </w:pPr>
      <w:r>
        <w:rPr/>
        <w:t>(20)</w:t>
      </w:r>
      <w:r>
        <w:rPr>
          <w:spacing w:val="-4"/>
        </w:rPr>
        <w:t> </w:t>
      </w:r>
      <w:r>
        <w:rPr/>
        <w:t>and</w:t>
      </w:r>
      <w:r>
        <w:rPr>
          <w:spacing w:val="-4"/>
        </w:rPr>
        <w:t> </w:t>
      </w:r>
      <w:r>
        <w:rPr/>
        <w:t>Regional</w:t>
      </w:r>
      <w:r>
        <w:rPr>
          <w:spacing w:val="-4"/>
        </w:rPr>
        <w:t> </w:t>
      </w:r>
      <w:r>
        <w:rPr/>
        <w:t>Conference</w:t>
      </w:r>
      <w:r>
        <w:rPr>
          <w:spacing w:val="-4"/>
        </w:rPr>
        <w:t> </w:t>
      </w:r>
      <w:r>
        <w:rPr/>
        <w:t>(12).</w:t>
      </w:r>
      <w:r>
        <w:rPr>
          <w:spacing w:val="-4"/>
        </w:rPr>
        <w:t> </w:t>
      </w:r>
      <w:r>
        <w:rPr/>
        <w:t>One</w:t>
      </w:r>
      <w:r>
        <w:rPr>
          <w:spacing w:val="-4"/>
        </w:rPr>
        <w:t> </w:t>
      </w:r>
      <w:r>
        <w:rPr/>
        <w:t>of</w:t>
      </w:r>
      <w:r>
        <w:rPr>
          <w:spacing w:val="-4"/>
        </w:rPr>
        <w:t> </w:t>
      </w:r>
      <w:r>
        <w:rPr/>
        <w:t>SHPE’s</w:t>
      </w:r>
      <w:r>
        <w:rPr>
          <w:spacing w:val="-4"/>
        </w:rPr>
        <w:t> </w:t>
      </w:r>
      <w:r>
        <w:rPr/>
        <w:t>members</w:t>
      </w:r>
      <w:r>
        <w:rPr>
          <w:spacing w:val="-4"/>
        </w:rPr>
        <w:t> </w:t>
      </w:r>
      <w:r>
        <w:rPr/>
        <w:t>was</w:t>
      </w:r>
      <w:r>
        <w:rPr>
          <w:spacing w:val="-4"/>
        </w:rPr>
        <w:t> </w:t>
      </w:r>
      <w:r>
        <w:rPr/>
        <w:t>a</w:t>
      </w:r>
      <w:r>
        <w:rPr>
          <w:spacing w:val="-4"/>
        </w:rPr>
        <w:t> </w:t>
      </w:r>
      <w:r>
        <w:rPr/>
        <w:t>finalist</w:t>
      </w:r>
      <w:r>
        <w:rPr>
          <w:spacing w:val="-4"/>
        </w:rPr>
        <w:t> </w:t>
      </w:r>
      <w:r>
        <w:rPr/>
        <w:t>for the Nissan Design Challenge at the 2022 National Convention, and several students</w:t>
      </w:r>
      <w:r>
        <w:rPr>
          <w:spacing w:val="-1"/>
        </w:rPr>
        <w:t> </w:t>
      </w:r>
      <w:r>
        <w:rPr/>
        <w:t>obtained</w:t>
      </w:r>
      <w:r>
        <w:rPr>
          <w:spacing w:val="-1"/>
        </w:rPr>
        <w:t> </w:t>
      </w:r>
      <w:r>
        <w:rPr/>
        <w:t>internship</w:t>
      </w:r>
      <w:r>
        <w:rPr>
          <w:spacing w:val="-1"/>
        </w:rPr>
        <w:t> </w:t>
      </w:r>
      <w:r>
        <w:rPr/>
        <w:t>and</w:t>
      </w:r>
      <w:r>
        <w:rPr>
          <w:spacing w:val="-1"/>
        </w:rPr>
        <w:t> </w:t>
      </w:r>
      <w:r>
        <w:rPr/>
        <w:t>full-time</w:t>
      </w:r>
      <w:r>
        <w:rPr>
          <w:spacing w:val="-1"/>
        </w:rPr>
        <w:t> </w:t>
      </w:r>
      <w:r>
        <w:rPr/>
        <w:t>job</w:t>
      </w:r>
      <w:r>
        <w:rPr>
          <w:spacing w:val="-1"/>
        </w:rPr>
        <w:t> </w:t>
      </w:r>
      <w:r>
        <w:rPr/>
        <w:t>offers</w:t>
      </w:r>
      <w:r>
        <w:rPr>
          <w:spacing w:val="-1"/>
        </w:rPr>
        <w:t> </w:t>
      </w:r>
      <w:r>
        <w:rPr/>
        <w:t>through</w:t>
      </w:r>
      <w:r>
        <w:rPr>
          <w:spacing w:val="-1"/>
        </w:rPr>
        <w:t> </w:t>
      </w:r>
      <w:r>
        <w:rPr/>
        <w:t>its</w:t>
      </w:r>
      <w:r>
        <w:rPr>
          <w:spacing w:val="-1"/>
        </w:rPr>
        <w:t> </w:t>
      </w:r>
      <w:r>
        <w:rPr/>
        <w:t>career</w:t>
      </w:r>
      <w:r>
        <w:rPr>
          <w:spacing w:val="-1"/>
        </w:rPr>
        <w:t> </w:t>
      </w:r>
      <w:r>
        <w:rPr/>
        <w:t>fair.</w:t>
      </w:r>
    </w:p>
    <w:p>
      <w:pPr>
        <w:pStyle w:val="ListParagraph"/>
        <w:numPr>
          <w:ilvl w:val="0"/>
          <w:numId w:val="3"/>
        </w:numPr>
        <w:tabs>
          <w:tab w:pos="467" w:val="left" w:leader="none"/>
        </w:tabs>
        <w:spacing w:line="240" w:lineRule="auto" w:before="0" w:after="0"/>
        <w:ind w:left="467" w:right="391" w:hanging="360"/>
        <w:jc w:val="left"/>
        <w:rPr>
          <w:sz w:val="22"/>
        </w:rPr>
      </w:pPr>
      <w:r>
        <w:rPr>
          <w:sz w:val="22"/>
        </w:rPr>
        <w:t>SHPE</w:t>
      </w:r>
      <w:r>
        <w:rPr>
          <w:spacing w:val="-4"/>
          <w:sz w:val="22"/>
        </w:rPr>
        <w:t> </w:t>
      </w:r>
      <w:r>
        <w:rPr>
          <w:sz w:val="22"/>
        </w:rPr>
        <w:t>established</w:t>
      </w:r>
      <w:r>
        <w:rPr>
          <w:spacing w:val="-4"/>
          <w:sz w:val="22"/>
        </w:rPr>
        <w:t> </w:t>
      </w:r>
      <w:r>
        <w:rPr>
          <w:sz w:val="22"/>
        </w:rPr>
        <w:t>the</w:t>
      </w:r>
      <w:r>
        <w:rPr>
          <w:spacing w:val="-4"/>
          <w:sz w:val="22"/>
        </w:rPr>
        <w:t> </w:t>
      </w:r>
      <w:r>
        <w:rPr>
          <w:sz w:val="22"/>
        </w:rPr>
        <w:t>chapter’s</w:t>
      </w:r>
      <w:r>
        <w:rPr>
          <w:spacing w:val="-4"/>
          <w:sz w:val="22"/>
        </w:rPr>
        <w:t> </w:t>
      </w:r>
      <w:r>
        <w:rPr>
          <w:sz w:val="22"/>
        </w:rPr>
        <w:t>first</w:t>
      </w:r>
      <w:r>
        <w:rPr>
          <w:spacing w:val="-4"/>
          <w:sz w:val="22"/>
        </w:rPr>
        <w:t> </w:t>
      </w:r>
      <w:r>
        <w:rPr>
          <w:sz w:val="22"/>
        </w:rPr>
        <w:t>SHPEtinas</w:t>
      </w:r>
      <w:r>
        <w:rPr>
          <w:spacing w:val="-4"/>
          <w:sz w:val="22"/>
        </w:rPr>
        <w:t> </w:t>
      </w:r>
      <w:r>
        <w:rPr>
          <w:sz w:val="22"/>
        </w:rPr>
        <w:t>group</w:t>
      </w:r>
      <w:r>
        <w:rPr>
          <w:spacing w:val="-4"/>
          <w:sz w:val="22"/>
        </w:rPr>
        <w:t> </w:t>
      </w:r>
      <w:r>
        <w:rPr>
          <w:sz w:val="22"/>
        </w:rPr>
        <w:t>to</w:t>
      </w:r>
      <w:r>
        <w:rPr>
          <w:spacing w:val="-4"/>
          <w:sz w:val="22"/>
        </w:rPr>
        <w:t> </w:t>
      </w:r>
      <w:r>
        <w:rPr>
          <w:sz w:val="22"/>
        </w:rPr>
        <w:t>empower</w:t>
      </w:r>
      <w:r>
        <w:rPr>
          <w:spacing w:val="-4"/>
          <w:sz w:val="22"/>
        </w:rPr>
        <w:t> </w:t>
      </w:r>
      <w:r>
        <w:rPr>
          <w:sz w:val="22"/>
        </w:rPr>
        <w:t>the</w:t>
      </w:r>
      <w:r>
        <w:rPr>
          <w:spacing w:val="-4"/>
          <w:sz w:val="22"/>
        </w:rPr>
        <w:t> </w:t>
      </w:r>
      <w:r>
        <w:rPr>
          <w:sz w:val="22"/>
        </w:rPr>
        <w:t>women of WSU SHPE.</w:t>
      </w:r>
    </w:p>
    <w:p>
      <w:pPr>
        <w:pStyle w:val="ListParagraph"/>
        <w:numPr>
          <w:ilvl w:val="0"/>
          <w:numId w:val="3"/>
        </w:numPr>
        <w:tabs>
          <w:tab w:pos="467" w:val="left" w:leader="none"/>
        </w:tabs>
        <w:spacing w:line="240" w:lineRule="auto" w:before="0" w:after="0"/>
        <w:ind w:left="467" w:right="775" w:hanging="360"/>
        <w:jc w:val="left"/>
        <w:rPr>
          <w:sz w:val="22"/>
        </w:rPr>
      </w:pPr>
      <w:r>
        <w:rPr>
          <w:sz w:val="22"/>
        </w:rPr>
        <w:t>They hosted many outreach, recruitment, professional and social events throughout</w:t>
      </w:r>
      <w:r>
        <w:rPr>
          <w:spacing w:val="-5"/>
          <w:sz w:val="22"/>
        </w:rPr>
        <w:t> </w:t>
      </w:r>
      <w:r>
        <w:rPr>
          <w:sz w:val="22"/>
        </w:rPr>
        <w:t>the</w:t>
      </w:r>
      <w:r>
        <w:rPr>
          <w:spacing w:val="-5"/>
          <w:sz w:val="22"/>
        </w:rPr>
        <w:t> </w:t>
      </w:r>
      <w:r>
        <w:rPr>
          <w:sz w:val="22"/>
        </w:rPr>
        <w:t>year</w:t>
      </w:r>
      <w:r>
        <w:rPr>
          <w:spacing w:val="-5"/>
          <w:sz w:val="22"/>
        </w:rPr>
        <w:t> </w:t>
      </w:r>
      <w:r>
        <w:rPr>
          <w:sz w:val="22"/>
        </w:rPr>
        <w:t>including</w:t>
      </w:r>
      <w:r>
        <w:rPr>
          <w:spacing w:val="-5"/>
          <w:sz w:val="22"/>
        </w:rPr>
        <w:t> </w:t>
      </w:r>
      <w:r>
        <w:rPr>
          <w:sz w:val="22"/>
        </w:rPr>
        <w:t>their</w:t>
      </w:r>
      <w:r>
        <w:rPr>
          <w:spacing w:val="-5"/>
          <w:sz w:val="22"/>
        </w:rPr>
        <w:t> </w:t>
      </w:r>
      <w:r>
        <w:rPr>
          <w:sz w:val="22"/>
        </w:rPr>
        <w:t>signature</w:t>
      </w:r>
      <w:r>
        <w:rPr>
          <w:spacing w:val="-5"/>
          <w:sz w:val="22"/>
        </w:rPr>
        <w:t> </w:t>
      </w:r>
      <w:r>
        <w:rPr>
          <w:sz w:val="22"/>
        </w:rPr>
        <w:t>community</w:t>
      </w:r>
      <w:r>
        <w:rPr>
          <w:spacing w:val="-5"/>
          <w:sz w:val="22"/>
        </w:rPr>
        <w:t> </w:t>
      </w:r>
      <w:r>
        <w:rPr>
          <w:sz w:val="22"/>
        </w:rPr>
        <w:t>event,</w:t>
      </w:r>
      <w:r>
        <w:rPr>
          <w:spacing w:val="-5"/>
          <w:sz w:val="22"/>
        </w:rPr>
        <w:t> </w:t>
      </w:r>
      <w:r>
        <w:rPr>
          <w:sz w:val="22"/>
        </w:rPr>
        <w:t>Noche</w:t>
      </w:r>
      <w:r>
        <w:rPr>
          <w:spacing w:val="-5"/>
          <w:sz w:val="22"/>
        </w:rPr>
        <w:t> </w:t>
      </w:r>
      <w:r>
        <w:rPr>
          <w:sz w:val="22"/>
        </w:rPr>
        <w:t>de Ciencias, at Wichita North High School.</w:t>
      </w:r>
    </w:p>
    <w:p>
      <w:pPr>
        <w:pStyle w:val="ListParagraph"/>
        <w:numPr>
          <w:ilvl w:val="0"/>
          <w:numId w:val="3"/>
        </w:numPr>
        <w:tabs>
          <w:tab w:pos="467" w:val="left" w:leader="none"/>
        </w:tabs>
        <w:spacing w:line="240" w:lineRule="auto" w:before="0" w:after="0"/>
        <w:ind w:left="467" w:right="453" w:hanging="360"/>
        <w:jc w:val="left"/>
        <w:rPr>
          <w:sz w:val="22"/>
        </w:rPr>
      </w:pPr>
      <w:r>
        <w:rPr>
          <w:sz w:val="22"/>
        </w:rPr>
        <w:t>A WSU SHPE sophomore was recently elected as the SHPE Region 3 student representative for the academic year 2023-2024. He will become the first student</w:t>
      </w:r>
      <w:r>
        <w:rPr>
          <w:spacing w:val="-4"/>
          <w:sz w:val="22"/>
        </w:rPr>
        <w:t> </w:t>
      </w:r>
      <w:r>
        <w:rPr>
          <w:sz w:val="22"/>
        </w:rPr>
        <w:t>to</w:t>
      </w:r>
      <w:r>
        <w:rPr>
          <w:spacing w:val="-4"/>
          <w:sz w:val="22"/>
        </w:rPr>
        <w:t> </w:t>
      </w:r>
      <w:r>
        <w:rPr>
          <w:sz w:val="22"/>
        </w:rPr>
        <w:t>ever</w:t>
      </w:r>
      <w:r>
        <w:rPr>
          <w:spacing w:val="-4"/>
          <w:sz w:val="22"/>
        </w:rPr>
        <w:t> </w:t>
      </w:r>
      <w:r>
        <w:rPr>
          <w:sz w:val="22"/>
        </w:rPr>
        <w:t>represent</w:t>
      </w:r>
      <w:r>
        <w:rPr>
          <w:spacing w:val="-5"/>
          <w:sz w:val="22"/>
        </w:rPr>
        <w:t> </w:t>
      </w:r>
      <w:r>
        <w:rPr>
          <w:sz w:val="22"/>
        </w:rPr>
        <w:t>WSU</w:t>
      </w:r>
      <w:r>
        <w:rPr>
          <w:spacing w:val="-4"/>
          <w:sz w:val="22"/>
        </w:rPr>
        <w:t> </w:t>
      </w:r>
      <w:r>
        <w:rPr>
          <w:sz w:val="22"/>
        </w:rPr>
        <w:t>at</w:t>
      </w:r>
      <w:r>
        <w:rPr>
          <w:spacing w:val="-4"/>
          <w:sz w:val="22"/>
        </w:rPr>
        <w:t> </w:t>
      </w:r>
      <w:r>
        <w:rPr>
          <w:sz w:val="22"/>
        </w:rPr>
        <w:t>the</w:t>
      </w:r>
      <w:r>
        <w:rPr>
          <w:spacing w:val="-4"/>
          <w:sz w:val="22"/>
        </w:rPr>
        <w:t> </w:t>
      </w:r>
      <w:r>
        <w:rPr>
          <w:sz w:val="22"/>
        </w:rPr>
        <w:t>regional</w:t>
      </w:r>
      <w:r>
        <w:rPr>
          <w:spacing w:val="-4"/>
          <w:sz w:val="22"/>
        </w:rPr>
        <w:t> </w:t>
      </w:r>
      <w:r>
        <w:rPr>
          <w:sz w:val="22"/>
        </w:rPr>
        <w:t>level.</w:t>
      </w:r>
      <w:r>
        <w:rPr>
          <w:spacing w:val="-4"/>
          <w:sz w:val="22"/>
        </w:rPr>
        <w:t> </w:t>
      </w:r>
      <w:r>
        <w:rPr>
          <w:sz w:val="22"/>
        </w:rPr>
        <w:t>Lastly,</w:t>
      </w:r>
      <w:r>
        <w:rPr>
          <w:spacing w:val="-4"/>
          <w:sz w:val="22"/>
        </w:rPr>
        <w:t> </w:t>
      </w:r>
      <w:r>
        <w:rPr>
          <w:sz w:val="22"/>
        </w:rPr>
        <w:t>SHPE</w:t>
      </w:r>
      <w:r>
        <w:rPr>
          <w:spacing w:val="-4"/>
          <w:sz w:val="22"/>
        </w:rPr>
        <w:t> </w:t>
      </w:r>
      <w:r>
        <w:rPr>
          <w:sz w:val="22"/>
        </w:rPr>
        <w:t>was</w:t>
      </w:r>
      <w:r>
        <w:rPr>
          <w:spacing w:val="-4"/>
          <w:sz w:val="22"/>
        </w:rPr>
        <w:t> </w:t>
      </w:r>
      <w:r>
        <w:rPr>
          <w:sz w:val="22"/>
        </w:rPr>
        <w:t>named the 2023 WSU Outstanding Large Organization of the Year.</w:t>
      </w:r>
    </w:p>
    <w:p>
      <w:pPr>
        <w:spacing w:after="0" w:line="240" w:lineRule="auto"/>
        <w:jc w:val="left"/>
        <w:rPr>
          <w:sz w:val="22"/>
        </w:rPr>
        <w:sectPr>
          <w:type w:val="continuous"/>
          <w:pgSz w:w="12240" w:h="15840"/>
          <w:pgMar w:header="1464" w:footer="1245" w:top="2100" w:bottom="1440" w:left="1340" w:right="1220"/>
          <w:cols w:num="2" w:equalWidth="0">
            <w:col w:w="1759" w:space="40"/>
            <w:col w:w="7881"/>
          </w:cols>
        </w:sectPr>
      </w:pPr>
    </w:p>
    <w:p>
      <w:pPr>
        <w:pStyle w:val="Heading1"/>
        <w:spacing w:before="10"/>
      </w:pPr>
      <w:r>
        <w:rPr>
          <w:w w:val="80"/>
        </w:rPr>
        <w:t>National</w:t>
      </w:r>
      <w:r>
        <w:rPr>
          <w:spacing w:val="-11"/>
        </w:rPr>
        <w:t> </w:t>
      </w:r>
      <w:r>
        <w:rPr>
          <w:w w:val="80"/>
        </w:rPr>
        <w:t>Society</w:t>
      </w:r>
      <w:r>
        <w:rPr>
          <w:spacing w:val="-11"/>
        </w:rPr>
        <w:t> </w:t>
      </w:r>
      <w:r>
        <w:rPr>
          <w:w w:val="80"/>
        </w:rPr>
        <w:t>of</w:t>
      </w:r>
      <w:r>
        <w:rPr>
          <w:spacing w:val="-10"/>
        </w:rPr>
        <w:t> </w:t>
      </w:r>
      <w:r>
        <w:rPr>
          <w:w w:val="80"/>
        </w:rPr>
        <w:t>Black</w:t>
      </w:r>
      <w:r>
        <w:rPr>
          <w:spacing w:val="-11"/>
        </w:rPr>
        <w:t> </w:t>
      </w:r>
      <w:r>
        <w:rPr>
          <w:w w:val="80"/>
        </w:rPr>
        <w:t>Engineering</w:t>
      </w:r>
      <w:r>
        <w:rPr>
          <w:spacing w:val="-11"/>
        </w:rPr>
        <w:t> </w:t>
      </w:r>
      <w:r>
        <w:rPr>
          <w:spacing w:val="-2"/>
          <w:w w:val="80"/>
        </w:rPr>
        <w:t>(NSBE)</w:t>
      </w:r>
    </w:p>
    <w:p>
      <w:pPr>
        <w:pStyle w:val="Heading2"/>
        <w:spacing w:before="157"/>
      </w:pPr>
      <w:r>
        <w:rPr>
          <w:spacing w:val="-2"/>
          <w:w w:val="85"/>
        </w:rPr>
        <w:t>Overview</w:t>
      </w:r>
    </w:p>
    <w:p>
      <w:pPr>
        <w:pStyle w:val="BodyText"/>
        <w:spacing w:before="178"/>
        <w:ind w:left="1545" w:right="277"/>
      </w:pPr>
      <w:r>
        <w:rPr/>
        <w:t>The</w:t>
      </w:r>
      <w:r>
        <w:rPr>
          <w:spacing w:val="-3"/>
        </w:rPr>
        <w:t> </w:t>
      </w:r>
      <w:r>
        <w:rPr/>
        <w:t>National</w:t>
      </w:r>
      <w:r>
        <w:rPr>
          <w:spacing w:val="-3"/>
        </w:rPr>
        <w:t> </w:t>
      </w:r>
      <w:r>
        <w:rPr/>
        <w:t>Society</w:t>
      </w:r>
      <w:r>
        <w:rPr>
          <w:spacing w:val="-3"/>
        </w:rPr>
        <w:t> </w:t>
      </w:r>
      <w:r>
        <w:rPr/>
        <w:t>of</w:t>
      </w:r>
      <w:r>
        <w:rPr>
          <w:spacing w:val="-3"/>
        </w:rPr>
        <w:t> </w:t>
      </w:r>
      <w:r>
        <w:rPr/>
        <w:t>Black</w:t>
      </w:r>
      <w:r>
        <w:rPr>
          <w:spacing w:val="-3"/>
        </w:rPr>
        <w:t> </w:t>
      </w:r>
      <w:r>
        <w:rPr/>
        <w:t>Engineers’</w:t>
      </w:r>
      <w:r>
        <w:rPr>
          <w:spacing w:val="-3"/>
        </w:rPr>
        <w:t> </w:t>
      </w:r>
      <w:r>
        <w:rPr/>
        <w:t>mission</w:t>
      </w:r>
      <w:r>
        <w:rPr>
          <w:spacing w:val="-3"/>
        </w:rPr>
        <w:t> </w:t>
      </w:r>
      <w:r>
        <w:rPr/>
        <w:t>is</w:t>
      </w:r>
      <w:r>
        <w:rPr>
          <w:spacing w:val="-3"/>
        </w:rPr>
        <w:t> </w:t>
      </w:r>
      <w:r>
        <w:rPr/>
        <w:t>to</w:t>
      </w:r>
      <w:r>
        <w:rPr>
          <w:spacing w:val="-3"/>
        </w:rPr>
        <w:t> </w:t>
      </w:r>
      <w:r>
        <w:rPr/>
        <w:t>increase</w:t>
      </w:r>
      <w:r>
        <w:rPr>
          <w:spacing w:val="-3"/>
        </w:rPr>
        <w:t> </w:t>
      </w:r>
      <w:r>
        <w:rPr/>
        <w:t>the</w:t>
      </w:r>
      <w:r>
        <w:rPr>
          <w:spacing w:val="-3"/>
        </w:rPr>
        <w:t> </w:t>
      </w:r>
      <w:r>
        <w:rPr/>
        <w:t>number</w:t>
      </w:r>
      <w:r>
        <w:rPr>
          <w:spacing w:val="-3"/>
        </w:rPr>
        <w:t> </w:t>
      </w:r>
      <w:r>
        <w:rPr/>
        <w:t>of</w:t>
      </w:r>
      <w:r>
        <w:rPr>
          <w:spacing w:val="-3"/>
        </w:rPr>
        <w:t> </w:t>
      </w:r>
      <w:r>
        <w:rPr/>
        <w:t>culturally responsible Black engineers who excel academically, succeed professionally and positively impact the community. The WSU Chapter of the National Society of Black Engineers</w:t>
      </w:r>
      <w:r>
        <w:rPr>
          <w:spacing w:val="-2"/>
        </w:rPr>
        <w:t> </w:t>
      </w:r>
      <w:r>
        <w:rPr/>
        <w:t>has</w:t>
      </w:r>
      <w:r>
        <w:rPr>
          <w:spacing w:val="-2"/>
        </w:rPr>
        <w:t> </w:t>
      </w:r>
      <w:r>
        <w:rPr/>
        <w:t>made</w:t>
      </w:r>
      <w:r>
        <w:rPr>
          <w:spacing w:val="-2"/>
        </w:rPr>
        <w:t> </w:t>
      </w:r>
      <w:r>
        <w:rPr/>
        <w:t>major</w:t>
      </w:r>
      <w:r>
        <w:rPr>
          <w:spacing w:val="-2"/>
        </w:rPr>
        <w:t> </w:t>
      </w:r>
      <w:r>
        <w:rPr/>
        <w:t>strides</w:t>
      </w:r>
      <w:r>
        <w:rPr>
          <w:spacing w:val="-2"/>
        </w:rPr>
        <w:t> </w:t>
      </w:r>
      <w:r>
        <w:rPr/>
        <w:t>toward</w:t>
      </w:r>
      <w:r>
        <w:rPr>
          <w:spacing w:val="-2"/>
        </w:rPr>
        <w:t> </w:t>
      </w:r>
      <w:r>
        <w:rPr/>
        <w:t>chapter</w:t>
      </w:r>
      <w:r>
        <w:rPr>
          <w:spacing w:val="-2"/>
        </w:rPr>
        <w:t> </w:t>
      </w:r>
      <w:r>
        <w:rPr/>
        <w:t>growth,</w:t>
      </w:r>
      <w:r>
        <w:rPr>
          <w:spacing w:val="-2"/>
        </w:rPr>
        <w:t> </w:t>
      </w:r>
      <w:r>
        <w:rPr/>
        <w:t>participation</w:t>
      </w:r>
      <w:r>
        <w:rPr>
          <w:spacing w:val="-2"/>
        </w:rPr>
        <w:t> </w:t>
      </w:r>
      <w:r>
        <w:rPr/>
        <w:t>and</w:t>
      </w:r>
      <w:r>
        <w:rPr>
          <w:spacing w:val="-2"/>
        </w:rPr>
        <w:t> </w:t>
      </w:r>
      <w:r>
        <w:rPr/>
        <w:t>activity</w:t>
      </w:r>
      <w:r>
        <w:rPr>
          <w:spacing w:val="-2"/>
        </w:rPr>
        <w:t> </w:t>
      </w:r>
      <w:r>
        <w:rPr/>
        <w:t>for this past academic year.</w:t>
      </w:r>
    </w:p>
    <w:p>
      <w:pPr>
        <w:spacing w:after="0"/>
        <w:sectPr>
          <w:type w:val="continuous"/>
          <w:pgSz w:w="12240" w:h="15840"/>
          <w:pgMar w:header="1464" w:footer="1245" w:top="2100" w:bottom="1440" w:left="1340" w:right="1220"/>
        </w:sectPr>
      </w:pPr>
    </w:p>
    <w:p>
      <w:pPr>
        <w:pStyle w:val="BodyText"/>
        <w:rPr>
          <w:sz w:val="20"/>
        </w:rPr>
      </w:pPr>
    </w:p>
    <w:p>
      <w:pPr>
        <w:pStyle w:val="BodyText"/>
        <w:rPr>
          <w:sz w:val="20"/>
        </w:rPr>
      </w:pPr>
    </w:p>
    <w:p>
      <w:pPr>
        <w:pStyle w:val="BodyText"/>
        <w:spacing w:before="8"/>
        <w:rPr>
          <w:sz w:val="13"/>
        </w:rPr>
      </w:pPr>
    </w:p>
    <w:p>
      <w:pPr>
        <w:pStyle w:val="BodyText"/>
        <w:ind w:left="1564"/>
        <w:rPr>
          <w:sz w:val="20"/>
        </w:rPr>
      </w:pPr>
      <w:r>
        <w:rPr>
          <w:sz w:val="20"/>
        </w:rPr>
        <w:drawing>
          <wp:inline distT="0" distB="0" distL="0" distR="0">
            <wp:extent cx="4944856" cy="3278124"/>
            <wp:effectExtent l="0" t="0" r="0" b="0"/>
            <wp:docPr id="11" name="Image 11"/>
            <wp:cNvGraphicFramePr>
              <a:graphicFrameLocks/>
            </wp:cNvGraphicFramePr>
            <a:graphic>
              <a:graphicData uri="http://schemas.openxmlformats.org/drawingml/2006/picture">
                <pic:pic>
                  <pic:nvPicPr>
                    <pic:cNvPr id="11" name="Image 11"/>
                    <pic:cNvPicPr/>
                  </pic:nvPicPr>
                  <pic:blipFill>
                    <a:blip r:embed="rId15" cstate="print"/>
                    <a:stretch>
                      <a:fillRect/>
                    </a:stretch>
                  </pic:blipFill>
                  <pic:spPr>
                    <a:xfrm>
                      <a:off x="0" y="0"/>
                      <a:ext cx="4944856" cy="3278124"/>
                    </a:xfrm>
                    <a:prstGeom prst="rect">
                      <a:avLst/>
                    </a:prstGeom>
                  </pic:spPr>
                </pic:pic>
              </a:graphicData>
            </a:graphic>
          </wp:inline>
        </w:drawing>
      </w:r>
      <w:r>
        <w:rPr>
          <w:sz w:val="20"/>
        </w:rPr>
      </w:r>
    </w:p>
    <w:p>
      <w:pPr>
        <w:pStyle w:val="BodyText"/>
        <w:rPr>
          <w:sz w:val="20"/>
        </w:rPr>
      </w:pPr>
    </w:p>
    <w:p>
      <w:pPr>
        <w:pStyle w:val="BodyText"/>
        <w:spacing w:before="9"/>
        <w:rPr>
          <w:sz w:val="20"/>
        </w:rPr>
      </w:pPr>
    </w:p>
    <w:p>
      <w:pPr>
        <w:pStyle w:val="Heading2"/>
      </w:pPr>
      <w:r>
        <w:rPr>
          <w:w w:val="80"/>
        </w:rPr>
        <w:t>Academic</w:t>
      </w:r>
      <w:r>
        <w:rPr>
          <w:spacing w:val="-2"/>
          <w:w w:val="80"/>
        </w:rPr>
        <w:t> </w:t>
      </w:r>
      <w:r>
        <w:rPr>
          <w:w w:val="80"/>
        </w:rPr>
        <w:t>Year</w:t>
      </w:r>
      <w:r>
        <w:rPr>
          <w:spacing w:val="-2"/>
          <w:w w:val="80"/>
        </w:rPr>
        <w:t> </w:t>
      </w:r>
      <w:r>
        <w:rPr>
          <w:w w:val="80"/>
        </w:rPr>
        <w:t>2022-</w:t>
      </w:r>
      <w:r>
        <w:rPr>
          <w:spacing w:val="-5"/>
          <w:w w:val="80"/>
        </w:rPr>
        <w:t>23</w:t>
      </w:r>
    </w:p>
    <w:p>
      <w:pPr>
        <w:pStyle w:val="ListParagraph"/>
        <w:numPr>
          <w:ilvl w:val="1"/>
          <w:numId w:val="3"/>
        </w:numPr>
        <w:tabs>
          <w:tab w:pos="2265" w:val="left" w:leader="none"/>
        </w:tabs>
        <w:spacing w:line="240" w:lineRule="auto" w:before="275" w:after="0"/>
        <w:ind w:left="2265" w:right="432" w:hanging="360"/>
        <w:jc w:val="left"/>
        <w:rPr>
          <w:sz w:val="22"/>
        </w:rPr>
      </w:pPr>
      <w:r>
        <w:rPr>
          <w:sz w:val="22"/>
        </w:rPr>
        <w:t>NSBE increased its membership to 60+ members and participated in several community</w:t>
      </w:r>
      <w:r>
        <w:rPr>
          <w:spacing w:val="-5"/>
          <w:sz w:val="22"/>
        </w:rPr>
        <w:t> </w:t>
      </w:r>
      <w:r>
        <w:rPr>
          <w:sz w:val="22"/>
        </w:rPr>
        <w:t>events,</w:t>
      </w:r>
      <w:r>
        <w:rPr>
          <w:spacing w:val="-5"/>
          <w:sz w:val="22"/>
        </w:rPr>
        <w:t> </w:t>
      </w:r>
      <w:r>
        <w:rPr>
          <w:sz w:val="22"/>
        </w:rPr>
        <w:t>including</w:t>
      </w:r>
      <w:r>
        <w:rPr>
          <w:spacing w:val="-5"/>
          <w:sz w:val="22"/>
        </w:rPr>
        <w:t> </w:t>
      </w:r>
      <w:r>
        <w:rPr>
          <w:sz w:val="22"/>
        </w:rPr>
        <w:t>Wu’s</w:t>
      </w:r>
      <w:r>
        <w:rPr>
          <w:spacing w:val="-5"/>
          <w:sz w:val="22"/>
        </w:rPr>
        <w:t> </w:t>
      </w:r>
      <w:r>
        <w:rPr>
          <w:sz w:val="22"/>
        </w:rPr>
        <w:t>Event,</w:t>
      </w:r>
      <w:r>
        <w:rPr>
          <w:spacing w:val="-5"/>
          <w:sz w:val="22"/>
        </w:rPr>
        <w:t> </w:t>
      </w:r>
      <w:r>
        <w:rPr>
          <w:sz w:val="22"/>
        </w:rPr>
        <w:t>Exploration</w:t>
      </w:r>
      <w:r>
        <w:rPr>
          <w:spacing w:val="-5"/>
          <w:sz w:val="22"/>
        </w:rPr>
        <w:t> </w:t>
      </w:r>
      <w:r>
        <w:rPr>
          <w:sz w:val="22"/>
        </w:rPr>
        <w:t>Place</w:t>
      </w:r>
      <w:r>
        <w:rPr>
          <w:spacing w:val="-5"/>
          <w:sz w:val="22"/>
        </w:rPr>
        <w:t> </w:t>
      </w:r>
      <w:r>
        <w:rPr>
          <w:sz w:val="22"/>
        </w:rPr>
        <w:t>and</w:t>
      </w:r>
      <w:r>
        <w:rPr>
          <w:spacing w:val="-5"/>
          <w:sz w:val="22"/>
        </w:rPr>
        <w:t> </w:t>
      </w:r>
      <w:r>
        <w:rPr>
          <w:sz w:val="22"/>
        </w:rPr>
        <w:t>Open</w:t>
      </w:r>
      <w:r>
        <w:rPr>
          <w:spacing w:val="-5"/>
          <w:sz w:val="22"/>
        </w:rPr>
        <w:t> </w:t>
      </w:r>
      <w:r>
        <w:rPr>
          <w:sz w:val="22"/>
        </w:rPr>
        <w:t>Streets Shocker Neighborhood.</w:t>
      </w:r>
    </w:p>
    <w:p>
      <w:pPr>
        <w:pStyle w:val="ListParagraph"/>
        <w:numPr>
          <w:ilvl w:val="1"/>
          <w:numId w:val="3"/>
        </w:numPr>
        <w:tabs>
          <w:tab w:pos="2265" w:val="left" w:leader="none"/>
        </w:tabs>
        <w:spacing w:line="240" w:lineRule="auto" w:before="0" w:after="0"/>
        <w:ind w:left="2265" w:right="523" w:hanging="360"/>
        <w:jc w:val="left"/>
        <w:rPr>
          <w:sz w:val="22"/>
        </w:rPr>
      </w:pPr>
      <w:r>
        <w:rPr>
          <w:sz w:val="22"/>
        </w:rPr>
        <w:t>NSBE</w:t>
      </w:r>
      <w:r>
        <w:rPr>
          <w:spacing w:val="-5"/>
          <w:sz w:val="22"/>
        </w:rPr>
        <w:t> </w:t>
      </w:r>
      <w:r>
        <w:rPr>
          <w:sz w:val="22"/>
        </w:rPr>
        <w:t>established</w:t>
      </w:r>
      <w:r>
        <w:rPr>
          <w:spacing w:val="-5"/>
          <w:sz w:val="22"/>
        </w:rPr>
        <w:t> </w:t>
      </w:r>
      <w:r>
        <w:rPr>
          <w:sz w:val="22"/>
        </w:rPr>
        <w:t>connections</w:t>
      </w:r>
      <w:r>
        <w:rPr>
          <w:spacing w:val="-5"/>
          <w:sz w:val="22"/>
        </w:rPr>
        <w:t> </w:t>
      </w:r>
      <w:r>
        <w:rPr>
          <w:sz w:val="22"/>
        </w:rPr>
        <w:t>with</w:t>
      </w:r>
      <w:r>
        <w:rPr>
          <w:spacing w:val="-5"/>
          <w:sz w:val="22"/>
        </w:rPr>
        <w:t> </w:t>
      </w:r>
      <w:r>
        <w:rPr>
          <w:sz w:val="22"/>
        </w:rPr>
        <w:t>three</w:t>
      </w:r>
      <w:r>
        <w:rPr>
          <w:spacing w:val="-5"/>
          <w:sz w:val="22"/>
        </w:rPr>
        <w:t> </w:t>
      </w:r>
      <w:r>
        <w:rPr>
          <w:sz w:val="22"/>
        </w:rPr>
        <w:t>local</w:t>
      </w:r>
      <w:r>
        <w:rPr>
          <w:spacing w:val="-4"/>
          <w:sz w:val="22"/>
        </w:rPr>
        <w:t> </w:t>
      </w:r>
      <w:r>
        <w:rPr>
          <w:sz w:val="22"/>
        </w:rPr>
        <w:t>schools:</w:t>
      </w:r>
      <w:r>
        <w:rPr>
          <w:spacing w:val="-4"/>
          <w:sz w:val="22"/>
        </w:rPr>
        <w:t> </w:t>
      </w:r>
      <w:r>
        <w:rPr>
          <w:sz w:val="22"/>
        </w:rPr>
        <w:t>Buckner</w:t>
      </w:r>
      <w:r>
        <w:rPr>
          <w:spacing w:val="-5"/>
          <w:sz w:val="22"/>
        </w:rPr>
        <w:t> </w:t>
      </w:r>
      <w:r>
        <w:rPr>
          <w:sz w:val="22"/>
        </w:rPr>
        <w:t>Elementary, Mueller Magnet Elementary and Brooks Middle School to begin the Pre- Collegiate Initiative (PCI) program in the upcoming academic year.</w:t>
      </w:r>
    </w:p>
    <w:p>
      <w:pPr>
        <w:pStyle w:val="ListParagraph"/>
        <w:numPr>
          <w:ilvl w:val="1"/>
          <w:numId w:val="3"/>
        </w:numPr>
        <w:tabs>
          <w:tab w:pos="2265" w:val="left" w:leader="none"/>
        </w:tabs>
        <w:spacing w:line="240" w:lineRule="auto" w:before="0" w:after="0"/>
        <w:ind w:left="2265" w:right="468" w:hanging="360"/>
        <w:jc w:val="both"/>
        <w:rPr>
          <w:sz w:val="22"/>
        </w:rPr>
      </w:pPr>
      <w:r>
        <w:rPr>
          <w:sz w:val="22"/>
        </w:rPr>
        <w:t>Through</w:t>
      </w:r>
      <w:r>
        <w:rPr>
          <w:spacing w:val="-5"/>
          <w:sz w:val="22"/>
        </w:rPr>
        <w:t> </w:t>
      </w:r>
      <w:r>
        <w:rPr>
          <w:sz w:val="22"/>
        </w:rPr>
        <w:t>PCI,</w:t>
      </w:r>
      <w:r>
        <w:rPr>
          <w:spacing w:val="-5"/>
          <w:sz w:val="22"/>
        </w:rPr>
        <w:t> </w:t>
      </w:r>
      <w:r>
        <w:rPr>
          <w:sz w:val="22"/>
        </w:rPr>
        <w:t>NSBE</w:t>
      </w:r>
      <w:r>
        <w:rPr>
          <w:spacing w:val="-5"/>
          <w:sz w:val="22"/>
        </w:rPr>
        <w:t> </w:t>
      </w:r>
      <w:r>
        <w:rPr>
          <w:sz w:val="22"/>
        </w:rPr>
        <w:t>members</w:t>
      </w:r>
      <w:r>
        <w:rPr>
          <w:spacing w:val="-5"/>
          <w:sz w:val="22"/>
        </w:rPr>
        <w:t> </w:t>
      </w:r>
      <w:r>
        <w:rPr>
          <w:sz w:val="22"/>
        </w:rPr>
        <w:t>along</w:t>
      </w:r>
      <w:r>
        <w:rPr>
          <w:spacing w:val="-5"/>
          <w:sz w:val="22"/>
        </w:rPr>
        <w:t> </w:t>
      </w:r>
      <w:r>
        <w:rPr>
          <w:sz w:val="22"/>
        </w:rPr>
        <w:t>with</w:t>
      </w:r>
      <w:r>
        <w:rPr>
          <w:spacing w:val="-5"/>
          <w:sz w:val="22"/>
        </w:rPr>
        <w:t> </w:t>
      </w:r>
      <w:r>
        <w:rPr>
          <w:sz w:val="22"/>
        </w:rPr>
        <w:t>College</w:t>
      </w:r>
      <w:r>
        <w:rPr>
          <w:spacing w:val="-5"/>
          <w:sz w:val="22"/>
        </w:rPr>
        <w:t> </w:t>
      </w:r>
      <w:r>
        <w:rPr>
          <w:sz w:val="22"/>
        </w:rPr>
        <w:t>of</w:t>
      </w:r>
      <w:r>
        <w:rPr>
          <w:spacing w:val="-5"/>
          <w:sz w:val="22"/>
        </w:rPr>
        <w:t> </w:t>
      </w:r>
      <w:r>
        <w:rPr>
          <w:sz w:val="22"/>
        </w:rPr>
        <w:t>Engineering</w:t>
      </w:r>
      <w:r>
        <w:rPr>
          <w:spacing w:val="-5"/>
          <w:sz w:val="22"/>
        </w:rPr>
        <w:t> </w:t>
      </w:r>
      <w:r>
        <w:rPr>
          <w:sz w:val="22"/>
        </w:rPr>
        <w:t>Ambassadors will</w:t>
      </w:r>
      <w:r>
        <w:rPr>
          <w:spacing w:val="-2"/>
          <w:sz w:val="22"/>
        </w:rPr>
        <w:t> </w:t>
      </w:r>
      <w:r>
        <w:rPr>
          <w:sz w:val="22"/>
        </w:rPr>
        <w:t>host</w:t>
      </w:r>
      <w:r>
        <w:rPr>
          <w:spacing w:val="-2"/>
          <w:sz w:val="22"/>
        </w:rPr>
        <w:t> </w:t>
      </w:r>
      <w:r>
        <w:rPr>
          <w:sz w:val="22"/>
        </w:rPr>
        <w:t>hands-on</w:t>
      </w:r>
      <w:r>
        <w:rPr>
          <w:spacing w:val="-2"/>
          <w:sz w:val="22"/>
        </w:rPr>
        <w:t> </w:t>
      </w:r>
      <w:r>
        <w:rPr>
          <w:sz w:val="22"/>
        </w:rPr>
        <w:t>activities</w:t>
      </w:r>
      <w:r>
        <w:rPr>
          <w:spacing w:val="-2"/>
          <w:sz w:val="22"/>
        </w:rPr>
        <w:t> </w:t>
      </w:r>
      <w:r>
        <w:rPr>
          <w:sz w:val="22"/>
        </w:rPr>
        <w:t>to</w:t>
      </w:r>
      <w:r>
        <w:rPr>
          <w:spacing w:val="-2"/>
          <w:sz w:val="22"/>
        </w:rPr>
        <w:t> </w:t>
      </w:r>
      <w:r>
        <w:rPr>
          <w:sz w:val="22"/>
        </w:rPr>
        <w:t>spark</w:t>
      </w:r>
      <w:r>
        <w:rPr>
          <w:spacing w:val="-2"/>
          <w:sz w:val="22"/>
        </w:rPr>
        <w:t> </w:t>
      </w:r>
      <w:r>
        <w:rPr>
          <w:sz w:val="22"/>
        </w:rPr>
        <w:t>an</w:t>
      </w:r>
      <w:r>
        <w:rPr>
          <w:spacing w:val="-2"/>
          <w:sz w:val="22"/>
        </w:rPr>
        <w:t> </w:t>
      </w:r>
      <w:r>
        <w:rPr>
          <w:sz w:val="22"/>
        </w:rPr>
        <w:t>interest</w:t>
      </w:r>
      <w:r>
        <w:rPr>
          <w:spacing w:val="-2"/>
          <w:sz w:val="22"/>
        </w:rPr>
        <w:t> </w:t>
      </w:r>
      <w:r>
        <w:rPr>
          <w:sz w:val="22"/>
        </w:rPr>
        <w:t>in</w:t>
      </w:r>
      <w:r>
        <w:rPr>
          <w:spacing w:val="-2"/>
          <w:sz w:val="22"/>
        </w:rPr>
        <w:t> </w:t>
      </w:r>
      <w:r>
        <w:rPr>
          <w:sz w:val="22"/>
        </w:rPr>
        <w:t>students</w:t>
      </w:r>
      <w:r>
        <w:rPr>
          <w:spacing w:val="-2"/>
          <w:sz w:val="22"/>
        </w:rPr>
        <w:t> </w:t>
      </w:r>
      <w:r>
        <w:rPr>
          <w:sz w:val="22"/>
        </w:rPr>
        <w:t>to</w:t>
      </w:r>
      <w:r>
        <w:rPr>
          <w:spacing w:val="-2"/>
          <w:sz w:val="22"/>
        </w:rPr>
        <w:t> </w:t>
      </w:r>
      <w:r>
        <w:rPr>
          <w:sz w:val="22"/>
        </w:rPr>
        <w:t>pursue</w:t>
      </w:r>
      <w:r>
        <w:rPr>
          <w:spacing w:val="-2"/>
          <w:sz w:val="22"/>
        </w:rPr>
        <w:t> </w:t>
      </w:r>
      <w:r>
        <w:rPr>
          <w:sz w:val="22"/>
        </w:rPr>
        <w:t>STEM </w:t>
      </w:r>
      <w:r>
        <w:rPr>
          <w:spacing w:val="-2"/>
          <w:sz w:val="22"/>
        </w:rPr>
        <w:t>careers.</w:t>
      </w:r>
    </w:p>
    <w:p>
      <w:pPr>
        <w:pStyle w:val="ListParagraph"/>
        <w:numPr>
          <w:ilvl w:val="1"/>
          <w:numId w:val="3"/>
        </w:numPr>
        <w:tabs>
          <w:tab w:pos="2265" w:val="left" w:leader="none"/>
        </w:tabs>
        <w:spacing w:line="240" w:lineRule="auto" w:before="0" w:after="0"/>
        <w:ind w:left="2265" w:right="1014" w:hanging="360"/>
        <w:jc w:val="left"/>
        <w:rPr>
          <w:sz w:val="22"/>
        </w:rPr>
      </w:pPr>
      <w:r>
        <w:rPr>
          <w:sz w:val="22"/>
        </w:rPr>
        <w:t>Lastly,</w:t>
      </w:r>
      <w:r>
        <w:rPr>
          <w:spacing w:val="-4"/>
          <w:sz w:val="22"/>
        </w:rPr>
        <w:t> </w:t>
      </w:r>
      <w:r>
        <w:rPr>
          <w:sz w:val="22"/>
        </w:rPr>
        <w:t>NSBE</w:t>
      </w:r>
      <w:r>
        <w:rPr>
          <w:spacing w:val="-4"/>
          <w:sz w:val="22"/>
        </w:rPr>
        <w:t> </w:t>
      </w:r>
      <w:r>
        <w:rPr>
          <w:sz w:val="22"/>
        </w:rPr>
        <w:t>sent</w:t>
      </w:r>
      <w:r>
        <w:rPr>
          <w:spacing w:val="-4"/>
          <w:sz w:val="22"/>
        </w:rPr>
        <w:t> </w:t>
      </w:r>
      <w:r>
        <w:rPr>
          <w:sz w:val="22"/>
        </w:rPr>
        <w:t>a</w:t>
      </w:r>
      <w:r>
        <w:rPr>
          <w:spacing w:val="-4"/>
          <w:sz w:val="22"/>
        </w:rPr>
        <w:t> </w:t>
      </w:r>
      <w:r>
        <w:rPr>
          <w:sz w:val="22"/>
        </w:rPr>
        <w:t>record</w:t>
      </w:r>
      <w:r>
        <w:rPr>
          <w:spacing w:val="-4"/>
          <w:sz w:val="22"/>
        </w:rPr>
        <w:t> </w:t>
      </w:r>
      <w:r>
        <w:rPr>
          <w:sz w:val="22"/>
        </w:rPr>
        <w:t>number</w:t>
      </w:r>
      <w:r>
        <w:rPr>
          <w:spacing w:val="-4"/>
          <w:sz w:val="22"/>
        </w:rPr>
        <w:t> </w:t>
      </w:r>
      <w:r>
        <w:rPr>
          <w:sz w:val="22"/>
        </w:rPr>
        <w:t>of</w:t>
      </w:r>
      <w:r>
        <w:rPr>
          <w:spacing w:val="-4"/>
          <w:sz w:val="22"/>
        </w:rPr>
        <w:t> </w:t>
      </w:r>
      <w:r>
        <w:rPr>
          <w:sz w:val="22"/>
        </w:rPr>
        <w:t>30</w:t>
      </w:r>
      <w:r>
        <w:rPr>
          <w:spacing w:val="-4"/>
          <w:sz w:val="22"/>
        </w:rPr>
        <w:t> </w:t>
      </w:r>
      <w:r>
        <w:rPr>
          <w:sz w:val="22"/>
        </w:rPr>
        <w:t>students</w:t>
      </w:r>
      <w:r>
        <w:rPr>
          <w:spacing w:val="-4"/>
          <w:sz w:val="22"/>
        </w:rPr>
        <w:t> </w:t>
      </w:r>
      <w:r>
        <w:rPr>
          <w:sz w:val="22"/>
        </w:rPr>
        <w:t>to</w:t>
      </w:r>
      <w:r>
        <w:rPr>
          <w:spacing w:val="-4"/>
          <w:sz w:val="22"/>
        </w:rPr>
        <w:t> </w:t>
      </w:r>
      <w:r>
        <w:rPr>
          <w:sz w:val="22"/>
        </w:rPr>
        <w:t>the</w:t>
      </w:r>
      <w:r>
        <w:rPr>
          <w:spacing w:val="-4"/>
          <w:sz w:val="22"/>
        </w:rPr>
        <w:t> </w:t>
      </w:r>
      <w:r>
        <w:rPr>
          <w:sz w:val="22"/>
        </w:rPr>
        <w:t>2023</w:t>
      </w:r>
      <w:r>
        <w:rPr>
          <w:spacing w:val="-4"/>
          <w:sz w:val="22"/>
        </w:rPr>
        <w:t> </w:t>
      </w:r>
      <w:r>
        <w:rPr>
          <w:sz w:val="22"/>
        </w:rPr>
        <w:t>National Convention in Kansas City, MO, where five students received summer internship offers.</w:t>
      </w:r>
    </w:p>
    <w:sectPr>
      <w:pgSz w:w="12240" w:h="15840"/>
      <w:pgMar w:header="1464" w:footer="1245" w:top="2100" w:bottom="1440" w:left="1340" w:right="122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Klavika Regular">
    <w:altName w:val="Klavika Regular"/>
    <w:charset w:val="0"/>
    <w:family w:val="swiss"/>
    <w:pitch w:val="variable"/>
  </w:font>
  <w:font w:name="Symbol">
    <w:altName w:val="Symbol"/>
    <w:charset w:val="2"/>
    <w:family w:val="roman"/>
    <w:pitch w:val="variable"/>
  </w:font>
  <w:font w:name="Calibri">
    <w:altName w:val="Calibri"/>
    <w:charset w:val="0"/>
    <w:family w:val="swiss"/>
    <w:pitch w:val="variable"/>
  </w:font>
  <w:font w:name="Klavika Light Condensed Italic">
    <w:altName w:val="Klavika Light Condensed Italic"/>
    <w:charset w:val="0"/>
    <w:family w:val="swiss"/>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395328">
          <wp:simplePos x="0" y="0"/>
          <wp:positionH relativeFrom="page">
            <wp:posOffset>1115061</wp:posOffset>
          </wp:positionH>
          <wp:positionV relativeFrom="page">
            <wp:posOffset>9141107</wp:posOffset>
          </wp:positionV>
          <wp:extent cx="5599858" cy="30162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1" cstate="print"/>
                  <a:stretch>
                    <a:fillRect/>
                  </a:stretch>
                </pic:blipFill>
                <pic:spPr>
                  <a:xfrm>
                    <a:off x="0" y="0"/>
                    <a:ext cx="5599858" cy="301625"/>
                  </a:xfrm>
                  <a:prstGeom prst="rect">
                    <a:avLst/>
                  </a:prstGeom>
                </pic:spPr>
              </pic:pic>
            </a:graphicData>
          </a:graphic>
        </wp:anchor>
      </w:drawing>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396352">
          <wp:simplePos x="0" y="0"/>
          <wp:positionH relativeFrom="page">
            <wp:posOffset>1115061</wp:posOffset>
          </wp:positionH>
          <wp:positionV relativeFrom="page">
            <wp:posOffset>9141107</wp:posOffset>
          </wp:positionV>
          <wp:extent cx="5599858" cy="301625"/>
          <wp:effectExtent l="0" t="0" r="0" b="0"/>
          <wp:wrapNone/>
          <wp:docPr id="10" name="Image 10"/>
          <wp:cNvGraphicFramePr>
            <a:graphicFrameLocks/>
          </wp:cNvGraphicFramePr>
          <a:graphic>
            <a:graphicData uri="http://schemas.openxmlformats.org/drawingml/2006/picture">
              <pic:pic>
                <pic:nvPicPr>
                  <pic:cNvPr id="10" name="Image 10"/>
                  <pic:cNvPicPr/>
                </pic:nvPicPr>
                <pic:blipFill>
                  <a:blip r:embed="rId1" cstate="print"/>
                  <a:stretch>
                    <a:fillRect/>
                  </a:stretch>
                </pic:blipFill>
                <pic:spPr>
                  <a:xfrm>
                    <a:off x="0" y="0"/>
                    <a:ext cx="5599858" cy="301625"/>
                  </a:xfrm>
                  <a:prstGeom prst="rect">
                    <a:avLst/>
                  </a:prstGeom>
                </pic:spPr>
              </pic:pic>
            </a:graphicData>
          </a:graphic>
        </wp:anchor>
      </w:drawing>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394816">
          <wp:simplePos x="0" y="0"/>
          <wp:positionH relativeFrom="page">
            <wp:posOffset>1094103</wp:posOffset>
          </wp:positionH>
          <wp:positionV relativeFrom="page">
            <wp:posOffset>929358</wp:posOffset>
          </wp:positionV>
          <wp:extent cx="5620384" cy="414019"/>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1" cstate="print"/>
                  <a:stretch>
                    <a:fillRect/>
                  </a:stretch>
                </pic:blipFill>
                <pic:spPr>
                  <a:xfrm>
                    <a:off x="0" y="0"/>
                    <a:ext cx="5620384" cy="414019"/>
                  </a:xfrm>
                  <a:prstGeom prst="rect">
                    <a:avLst/>
                  </a:prstGeom>
                </pic:spPr>
              </pic:pic>
            </a:graphicData>
          </a:graphic>
        </wp:anchor>
      </w:drawing>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w:drawing>
        <wp:anchor distT="0" distB="0" distL="0" distR="0" allowOverlap="1" layoutInCell="1" locked="0" behindDoc="1" simplePos="0" relativeHeight="487395840">
          <wp:simplePos x="0" y="0"/>
          <wp:positionH relativeFrom="page">
            <wp:posOffset>1094103</wp:posOffset>
          </wp:positionH>
          <wp:positionV relativeFrom="page">
            <wp:posOffset>929358</wp:posOffset>
          </wp:positionV>
          <wp:extent cx="5620384" cy="414019"/>
          <wp:effectExtent l="0" t="0" r="0" b="0"/>
          <wp:wrapNone/>
          <wp:docPr id="9" name="Image 9"/>
          <wp:cNvGraphicFramePr>
            <a:graphicFrameLocks/>
          </wp:cNvGraphicFramePr>
          <a:graphic>
            <a:graphicData uri="http://schemas.openxmlformats.org/drawingml/2006/picture">
              <pic:pic>
                <pic:nvPicPr>
                  <pic:cNvPr id="9" name="Image 9"/>
                  <pic:cNvPicPr/>
                </pic:nvPicPr>
                <pic:blipFill>
                  <a:blip r:embed="rId1" cstate="print"/>
                  <a:stretch>
                    <a:fillRect/>
                  </a:stretch>
                </pic:blipFill>
                <pic:spPr>
                  <a:xfrm>
                    <a:off x="0" y="0"/>
                    <a:ext cx="5620384" cy="414019"/>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2">
    <w:multiLevelType w:val="hybridMultilevel"/>
    <w:lvl w:ilvl="0">
      <w:start w:val="0"/>
      <w:numFmt w:val="bullet"/>
      <w:lvlText w:val=""/>
      <w:lvlJc w:val="left"/>
      <w:pPr>
        <w:ind w:left="467" w:hanging="360"/>
      </w:pPr>
      <w:rPr>
        <w:rFonts w:hint="default" w:ascii="Symbol" w:hAnsi="Symbol" w:eastAsia="Symbol" w:cs="Symbol"/>
        <w:b w:val="0"/>
        <w:bCs w:val="0"/>
        <w:i w:val="0"/>
        <w:iCs w:val="0"/>
        <w:spacing w:val="0"/>
        <w:w w:val="100"/>
        <w:sz w:val="22"/>
        <w:szCs w:val="22"/>
        <w:lang w:val="en-US" w:eastAsia="en-US" w:bidi="ar-SA"/>
      </w:rPr>
    </w:lvl>
    <w:lvl w:ilvl="1">
      <w:start w:val="0"/>
      <w:numFmt w:val="bullet"/>
      <w:lvlText w:val=""/>
      <w:lvlJc w:val="left"/>
      <w:pPr>
        <w:ind w:left="2265" w:hanging="360"/>
      </w:pPr>
      <w:rPr>
        <w:rFonts w:hint="default" w:ascii="Symbol" w:hAnsi="Symbol" w:eastAsia="Symbol" w:cs="Symbol"/>
        <w:b w:val="0"/>
        <w:bCs w:val="0"/>
        <w:i w:val="0"/>
        <w:iCs w:val="0"/>
        <w:spacing w:val="0"/>
        <w:w w:val="100"/>
        <w:sz w:val="22"/>
        <w:szCs w:val="22"/>
        <w:lang w:val="en-US" w:eastAsia="en-US" w:bidi="ar-SA"/>
      </w:rPr>
    </w:lvl>
    <w:lvl w:ilvl="2">
      <w:start w:val="0"/>
      <w:numFmt w:val="bullet"/>
      <w:lvlText w:val="•"/>
      <w:lvlJc w:val="left"/>
      <w:pPr>
        <w:ind w:left="2884" w:hanging="360"/>
      </w:pPr>
      <w:rPr>
        <w:rFonts w:hint="default"/>
        <w:lang w:val="en-US" w:eastAsia="en-US" w:bidi="ar-SA"/>
      </w:rPr>
    </w:lvl>
    <w:lvl w:ilvl="3">
      <w:start w:val="0"/>
      <w:numFmt w:val="bullet"/>
      <w:lvlText w:val="•"/>
      <w:lvlJc w:val="left"/>
      <w:pPr>
        <w:ind w:left="3509" w:hanging="360"/>
      </w:pPr>
      <w:rPr>
        <w:rFonts w:hint="default"/>
        <w:lang w:val="en-US" w:eastAsia="en-US" w:bidi="ar-SA"/>
      </w:rPr>
    </w:lvl>
    <w:lvl w:ilvl="4">
      <w:start w:val="0"/>
      <w:numFmt w:val="bullet"/>
      <w:lvlText w:val="•"/>
      <w:lvlJc w:val="left"/>
      <w:pPr>
        <w:ind w:left="4133" w:hanging="360"/>
      </w:pPr>
      <w:rPr>
        <w:rFonts w:hint="default"/>
        <w:lang w:val="en-US" w:eastAsia="en-US" w:bidi="ar-SA"/>
      </w:rPr>
    </w:lvl>
    <w:lvl w:ilvl="5">
      <w:start w:val="0"/>
      <w:numFmt w:val="bullet"/>
      <w:lvlText w:val="•"/>
      <w:lvlJc w:val="left"/>
      <w:pPr>
        <w:ind w:left="4758" w:hanging="360"/>
      </w:pPr>
      <w:rPr>
        <w:rFonts w:hint="default"/>
        <w:lang w:val="en-US" w:eastAsia="en-US" w:bidi="ar-SA"/>
      </w:rPr>
    </w:lvl>
    <w:lvl w:ilvl="6">
      <w:start w:val="0"/>
      <w:numFmt w:val="bullet"/>
      <w:lvlText w:val="•"/>
      <w:lvlJc w:val="left"/>
      <w:pPr>
        <w:ind w:left="5383" w:hanging="360"/>
      </w:pPr>
      <w:rPr>
        <w:rFonts w:hint="default"/>
        <w:lang w:val="en-US" w:eastAsia="en-US" w:bidi="ar-SA"/>
      </w:rPr>
    </w:lvl>
    <w:lvl w:ilvl="7">
      <w:start w:val="0"/>
      <w:numFmt w:val="bullet"/>
      <w:lvlText w:val="•"/>
      <w:lvlJc w:val="left"/>
      <w:pPr>
        <w:ind w:left="6007" w:hanging="360"/>
      </w:pPr>
      <w:rPr>
        <w:rFonts w:hint="default"/>
        <w:lang w:val="en-US" w:eastAsia="en-US" w:bidi="ar-SA"/>
      </w:rPr>
    </w:lvl>
    <w:lvl w:ilvl="8">
      <w:start w:val="0"/>
      <w:numFmt w:val="bullet"/>
      <w:lvlText w:val="•"/>
      <w:lvlJc w:val="left"/>
      <w:pPr>
        <w:ind w:left="6632" w:hanging="360"/>
      </w:pPr>
      <w:rPr>
        <w:rFonts w:hint="default"/>
        <w:lang w:val="en-US" w:eastAsia="en-US" w:bidi="ar-SA"/>
      </w:rPr>
    </w:lvl>
  </w:abstractNum>
  <w:abstractNum w:abstractNumId="1">
    <w:multiLevelType w:val="hybridMultilevel"/>
    <w:lvl w:ilvl="0">
      <w:start w:val="0"/>
      <w:numFmt w:val="bullet"/>
      <w:lvlText w:val=""/>
      <w:lvlJc w:val="left"/>
      <w:pPr>
        <w:ind w:left="2265" w:hanging="360"/>
      </w:pPr>
      <w:rPr>
        <w:rFonts w:hint="default" w:ascii="Symbol" w:hAnsi="Symbol" w:eastAsia="Symbol" w:cs="Symbol"/>
        <w:spacing w:val="0"/>
        <w:w w:val="99"/>
        <w:lang w:val="en-US" w:eastAsia="en-US" w:bidi="ar-SA"/>
      </w:rPr>
    </w:lvl>
    <w:lvl w:ilvl="1">
      <w:start w:val="0"/>
      <w:numFmt w:val="bullet"/>
      <w:lvlText w:val="•"/>
      <w:lvlJc w:val="left"/>
      <w:pPr>
        <w:ind w:left="3002" w:hanging="360"/>
      </w:pPr>
      <w:rPr>
        <w:rFonts w:hint="default"/>
        <w:lang w:val="en-US" w:eastAsia="en-US" w:bidi="ar-SA"/>
      </w:rPr>
    </w:lvl>
    <w:lvl w:ilvl="2">
      <w:start w:val="0"/>
      <w:numFmt w:val="bullet"/>
      <w:lvlText w:val="•"/>
      <w:lvlJc w:val="left"/>
      <w:pPr>
        <w:ind w:left="3744" w:hanging="360"/>
      </w:pPr>
      <w:rPr>
        <w:rFonts w:hint="default"/>
        <w:lang w:val="en-US" w:eastAsia="en-US" w:bidi="ar-SA"/>
      </w:rPr>
    </w:lvl>
    <w:lvl w:ilvl="3">
      <w:start w:val="0"/>
      <w:numFmt w:val="bullet"/>
      <w:lvlText w:val="•"/>
      <w:lvlJc w:val="left"/>
      <w:pPr>
        <w:ind w:left="4486" w:hanging="360"/>
      </w:pPr>
      <w:rPr>
        <w:rFonts w:hint="default"/>
        <w:lang w:val="en-US" w:eastAsia="en-US" w:bidi="ar-SA"/>
      </w:rPr>
    </w:lvl>
    <w:lvl w:ilvl="4">
      <w:start w:val="0"/>
      <w:numFmt w:val="bullet"/>
      <w:lvlText w:val="•"/>
      <w:lvlJc w:val="left"/>
      <w:pPr>
        <w:ind w:left="5228" w:hanging="360"/>
      </w:pPr>
      <w:rPr>
        <w:rFonts w:hint="default"/>
        <w:lang w:val="en-US" w:eastAsia="en-US" w:bidi="ar-SA"/>
      </w:rPr>
    </w:lvl>
    <w:lvl w:ilvl="5">
      <w:start w:val="0"/>
      <w:numFmt w:val="bullet"/>
      <w:lvlText w:val="•"/>
      <w:lvlJc w:val="left"/>
      <w:pPr>
        <w:ind w:left="5970" w:hanging="360"/>
      </w:pPr>
      <w:rPr>
        <w:rFonts w:hint="default"/>
        <w:lang w:val="en-US" w:eastAsia="en-US" w:bidi="ar-SA"/>
      </w:rPr>
    </w:lvl>
    <w:lvl w:ilvl="6">
      <w:start w:val="0"/>
      <w:numFmt w:val="bullet"/>
      <w:lvlText w:val="•"/>
      <w:lvlJc w:val="left"/>
      <w:pPr>
        <w:ind w:left="6712" w:hanging="360"/>
      </w:pPr>
      <w:rPr>
        <w:rFonts w:hint="default"/>
        <w:lang w:val="en-US" w:eastAsia="en-US" w:bidi="ar-SA"/>
      </w:rPr>
    </w:lvl>
    <w:lvl w:ilvl="7">
      <w:start w:val="0"/>
      <w:numFmt w:val="bullet"/>
      <w:lvlText w:val="•"/>
      <w:lvlJc w:val="left"/>
      <w:pPr>
        <w:ind w:left="7454" w:hanging="360"/>
      </w:pPr>
      <w:rPr>
        <w:rFonts w:hint="default"/>
        <w:lang w:val="en-US" w:eastAsia="en-US" w:bidi="ar-SA"/>
      </w:rPr>
    </w:lvl>
    <w:lvl w:ilvl="8">
      <w:start w:val="0"/>
      <w:numFmt w:val="bullet"/>
      <w:lvlText w:val="•"/>
      <w:lvlJc w:val="left"/>
      <w:pPr>
        <w:ind w:left="8196" w:hanging="360"/>
      </w:pPr>
      <w:rPr>
        <w:rFonts w:hint="default"/>
        <w:lang w:val="en-US" w:eastAsia="en-US" w:bidi="ar-SA"/>
      </w:rPr>
    </w:lvl>
  </w:abstractNum>
  <w:abstractNum w:abstractNumId="0">
    <w:multiLevelType w:val="hybridMultilevel"/>
    <w:lvl w:ilvl="0">
      <w:start w:val="0"/>
      <w:numFmt w:val="bullet"/>
      <w:lvlText w:val=""/>
      <w:lvlJc w:val="left"/>
      <w:pPr>
        <w:ind w:left="1545" w:hanging="360"/>
      </w:pPr>
      <w:rPr>
        <w:rFonts w:hint="default" w:ascii="Symbol" w:hAnsi="Symbol" w:eastAsia="Symbol" w:cs="Symbol"/>
        <w:b w:val="0"/>
        <w:bCs w:val="0"/>
        <w:i w:val="0"/>
        <w:iCs w:val="0"/>
        <w:spacing w:val="0"/>
        <w:w w:val="100"/>
        <w:sz w:val="32"/>
        <w:szCs w:val="32"/>
        <w:lang w:val="en-US" w:eastAsia="en-US" w:bidi="ar-SA"/>
      </w:rPr>
    </w:lvl>
    <w:lvl w:ilvl="1">
      <w:start w:val="0"/>
      <w:numFmt w:val="bullet"/>
      <w:lvlText w:val="•"/>
      <w:lvlJc w:val="left"/>
      <w:pPr>
        <w:ind w:left="2354" w:hanging="360"/>
      </w:pPr>
      <w:rPr>
        <w:rFonts w:hint="default"/>
        <w:lang w:val="en-US" w:eastAsia="en-US" w:bidi="ar-SA"/>
      </w:rPr>
    </w:lvl>
    <w:lvl w:ilvl="2">
      <w:start w:val="0"/>
      <w:numFmt w:val="bullet"/>
      <w:lvlText w:val="•"/>
      <w:lvlJc w:val="left"/>
      <w:pPr>
        <w:ind w:left="3168" w:hanging="360"/>
      </w:pPr>
      <w:rPr>
        <w:rFonts w:hint="default"/>
        <w:lang w:val="en-US" w:eastAsia="en-US" w:bidi="ar-SA"/>
      </w:rPr>
    </w:lvl>
    <w:lvl w:ilvl="3">
      <w:start w:val="0"/>
      <w:numFmt w:val="bullet"/>
      <w:lvlText w:val="•"/>
      <w:lvlJc w:val="left"/>
      <w:pPr>
        <w:ind w:left="3982" w:hanging="360"/>
      </w:pPr>
      <w:rPr>
        <w:rFonts w:hint="default"/>
        <w:lang w:val="en-US" w:eastAsia="en-US" w:bidi="ar-SA"/>
      </w:rPr>
    </w:lvl>
    <w:lvl w:ilvl="4">
      <w:start w:val="0"/>
      <w:numFmt w:val="bullet"/>
      <w:lvlText w:val="•"/>
      <w:lvlJc w:val="left"/>
      <w:pPr>
        <w:ind w:left="4796" w:hanging="360"/>
      </w:pPr>
      <w:rPr>
        <w:rFonts w:hint="default"/>
        <w:lang w:val="en-US" w:eastAsia="en-US" w:bidi="ar-SA"/>
      </w:rPr>
    </w:lvl>
    <w:lvl w:ilvl="5">
      <w:start w:val="0"/>
      <w:numFmt w:val="bullet"/>
      <w:lvlText w:val="•"/>
      <w:lvlJc w:val="left"/>
      <w:pPr>
        <w:ind w:left="5610" w:hanging="360"/>
      </w:pPr>
      <w:rPr>
        <w:rFonts w:hint="default"/>
        <w:lang w:val="en-US" w:eastAsia="en-US" w:bidi="ar-SA"/>
      </w:rPr>
    </w:lvl>
    <w:lvl w:ilvl="6">
      <w:start w:val="0"/>
      <w:numFmt w:val="bullet"/>
      <w:lvlText w:val="•"/>
      <w:lvlJc w:val="left"/>
      <w:pPr>
        <w:ind w:left="6424" w:hanging="360"/>
      </w:pPr>
      <w:rPr>
        <w:rFonts w:hint="default"/>
        <w:lang w:val="en-US" w:eastAsia="en-US" w:bidi="ar-SA"/>
      </w:rPr>
    </w:lvl>
    <w:lvl w:ilvl="7">
      <w:start w:val="0"/>
      <w:numFmt w:val="bullet"/>
      <w:lvlText w:val="•"/>
      <w:lvlJc w:val="left"/>
      <w:pPr>
        <w:ind w:left="7238" w:hanging="360"/>
      </w:pPr>
      <w:rPr>
        <w:rFonts w:hint="default"/>
        <w:lang w:val="en-US" w:eastAsia="en-US" w:bidi="ar-SA"/>
      </w:rPr>
    </w:lvl>
    <w:lvl w:ilvl="8">
      <w:start w:val="0"/>
      <w:numFmt w:val="bullet"/>
      <w:lvlText w:val="•"/>
      <w:lvlJc w:val="left"/>
      <w:pPr>
        <w:ind w:left="8052" w:hanging="360"/>
      </w:pPr>
      <w:rPr>
        <w:rFonts w:hint="default"/>
        <w:lang w:val="en-US" w:eastAsia="en-US" w:bidi="ar-SA"/>
      </w:rPr>
    </w:lvl>
  </w:abstract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Klavika Regular" w:hAnsi="Klavika Regular" w:eastAsia="Klavika Regular" w:cs="Klavika Regular"/>
      <w:lang w:val="en-US" w:eastAsia="en-US" w:bidi="ar-SA"/>
    </w:rPr>
  </w:style>
  <w:style w:styleId="BodyText" w:type="paragraph">
    <w:name w:val="Body Text"/>
    <w:basedOn w:val="Normal"/>
    <w:uiPriority w:val="1"/>
    <w:qFormat/>
    <w:pPr/>
    <w:rPr>
      <w:rFonts w:ascii="Klavika Regular" w:hAnsi="Klavika Regular" w:eastAsia="Klavika Regular" w:cs="Klavika Regular"/>
      <w:sz w:val="22"/>
      <w:szCs w:val="22"/>
      <w:lang w:val="en-US" w:eastAsia="en-US" w:bidi="ar-SA"/>
    </w:rPr>
  </w:style>
  <w:style w:styleId="Heading1" w:type="paragraph">
    <w:name w:val="Heading 1"/>
    <w:basedOn w:val="Normal"/>
    <w:uiPriority w:val="1"/>
    <w:qFormat/>
    <w:pPr>
      <w:ind w:left="825"/>
      <w:outlineLvl w:val="1"/>
    </w:pPr>
    <w:rPr>
      <w:rFonts w:ascii="Calibri" w:hAnsi="Calibri" w:eastAsia="Calibri" w:cs="Calibri"/>
      <w:b/>
      <w:bCs/>
      <w:sz w:val="32"/>
      <w:szCs w:val="32"/>
      <w:lang w:val="en-US" w:eastAsia="en-US" w:bidi="ar-SA"/>
    </w:rPr>
  </w:style>
  <w:style w:styleId="Heading2" w:type="paragraph">
    <w:name w:val="Heading 2"/>
    <w:basedOn w:val="Normal"/>
    <w:uiPriority w:val="1"/>
    <w:qFormat/>
    <w:pPr>
      <w:spacing w:before="101"/>
      <w:ind w:left="1545"/>
      <w:outlineLvl w:val="2"/>
    </w:pPr>
    <w:rPr>
      <w:rFonts w:ascii="Calibri" w:hAnsi="Calibri" w:eastAsia="Calibri" w:cs="Calibri"/>
      <w:sz w:val="28"/>
      <w:szCs w:val="28"/>
      <w:lang w:val="en-US" w:eastAsia="en-US" w:bidi="ar-SA"/>
    </w:rPr>
  </w:style>
  <w:style w:styleId="Title" w:type="paragraph">
    <w:name w:val="Title"/>
    <w:basedOn w:val="Normal"/>
    <w:uiPriority w:val="1"/>
    <w:qFormat/>
    <w:pPr>
      <w:spacing w:before="233"/>
      <w:ind w:left="1167" w:right="1273"/>
      <w:jc w:val="center"/>
    </w:pPr>
    <w:rPr>
      <w:rFonts w:ascii="Calibri" w:hAnsi="Calibri" w:eastAsia="Calibri" w:cs="Calibri"/>
      <w:b/>
      <w:bCs/>
      <w:sz w:val="48"/>
      <w:szCs w:val="48"/>
      <w:lang w:val="en-US" w:eastAsia="en-US" w:bidi="ar-SA"/>
    </w:rPr>
  </w:style>
  <w:style w:styleId="ListParagraph" w:type="paragraph">
    <w:name w:val="List Paragraph"/>
    <w:basedOn w:val="Normal"/>
    <w:uiPriority w:val="1"/>
    <w:qFormat/>
    <w:pPr>
      <w:ind w:left="2265" w:hanging="360"/>
    </w:pPr>
    <w:rPr>
      <w:rFonts w:ascii="Klavika Regular" w:hAnsi="Klavika Regular" w:eastAsia="Klavika Regular" w:cs="Klavika Regular"/>
      <w:lang w:val="en-US" w:eastAsia="en-US" w:bidi="ar-SA"/>
    </w:rPr>
  </w:style>
  <w:style w:styleId="TableParagraph" w:type="paragraph">
    <w:name w:val="Table Paragraph"/>
    <w:basedOn w:val="Normal"/>
    <w:uiPriority w:val="1"/>
    <w:qFormat/>
    <w:pPr>
      <w:spacing w:before="13" w:line="231" w:lineRule="exact"/>
      <w:jc w:val="right"/>
    </w:pPr>
    <w:rPr>
      <w:rFonts w:ascii="Klavika Regular" w:hAnsi="Klavika Regular" w:eastAsia="Klavika Regular" w:cs="Klavika Regula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footer" Target="footer1.xml"/><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 Id="rId12" Type="http://schemas.openxmlformats.org/officeDocument/2006/relationships/image" Target="media/image8.jpeg"/><Relationship Id="rId13" Type="http://schemas.openxmlformats.org/officeDocument/2006/relationships/header" Target="header2.xml"/><Relationship Id="rId14" Type="http://schemas.openxmlformats.org/officeDocument/2006/relationships/footer" Target="footer2.xml"/><Relationship Id="rId15" Type="http://schemas.openxmlformats.org/officeDocument/2006/relationships/image" Target="media/image9.jpeg"/><Relationship Id="rId16"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DEI Report-AM.docx</dc:title>
  <dcterms:created xsi:type="dcterms:W3CDTF">2024-01-02T20:10:24Z</dcterms:created>
  <dcterms:modified xsi:type="dcterms:W3CDTF">2024-01-02T20:10:24Z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2023-06-14T00:00:00Z</vt:filetime>
  </property>
  <property fmtid="{D5CDD505-2E9C-101B-9397-08002B2CF9AE}" pid="3" name="Creator">
    <vt:lpwstr>Word</vt:lpwstr>
  </property>
  <property fmtid="{D5CDD505-2E9C-101B-9397-08002B2CF9AE}" pid="4" name="LastSaved">
    <vt:filetime>2024-01-02T00:00:00Z</vt:filetime>
  </property>
  <property fmtid="{D5CDD505-2E9C-101B-9397-08002B2CF9AE}" pid="5" name="Producer">
    <vt:lpwstr>macOS Version 13.4 (Build 22F66) Quartz PDFContext</vt:lpwstr>
  </property>
</Properties>
</file>