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C6F7" w14:textId="77777777" w:rsidR="00A92394" w:rsidRPr="005555E7" w:rsidRDefault="00D850AB" w:rsidP="00D904DD">
      <w:pPr>
        <w:rPr>
          <w:rFonts w:ascii="Franklin Gothic Book" w:hAnsi="Franklin Gothic Book" w:cs="Comic Sans MS"/>
          <w:b/>
          <w:bCs/>
        </w:rPr>
      </w:pPr>
      <w:r>
        <w:rPr>
          <w:noProof/>
        </w:rPr>
        <w:drawing>
          <wp:anchor distT="0" distB="0" distL="114300" distR="114300" simplePos="0" relativeHeight="251659264" behindDoc="0" locked="0" layoutInCell="1" allowOverlap="1" wp14:anchorId="61B38EF7" wp14:editId="35EF584A">
            <wp:simplePos x="0" y="0"/>
            <wp:positionH relativeFrom="margin">
              <wp:posOffset>-485775</wp:posOffset>
            </wp:positionH>
            <wp:positionV relativeFrom="topMargin">
              <wp:posOffset>228600</wp:posOffset>
            </wp:positionV>
            <wp:extent cx="2857500" cy="1327150"/>
            <wp:effectExtent l="0" t="0" r="0" b="6350"/>
            <wp:wrapSquare wrapText="bothSides"/>
            <wp:docPr id="3" name="Picture 3" descr="C:\Users\e297s785\AppData\Local\Microsoft\Windows\INetCache\Content.Word\S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97s785\AppData\Local\Microsoft\Windows\INetCache\Content.Word\SG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7B431" w14:textId="77777777" w:rsidR="005555E7" w:rsidRDefault="005555E7" w:rsidP="00D904DD">
      <w:pPr>
        <w:rPr>
          <w:rFonts w:ascii="Franklin Gothic Book" w:hAnsi="Franklin Gothic Book" w:cs="Comic Sans MS"/>
          <w:b/>
          <w:bCs/>
        </w:rPr>
      </w:pPr>
    </w:p>
    <w:p w14:paraId="46132EF5" w14:textId="1F7E1B87" w:rsidR="00D904DD" w:rsidRPr="005555E7" w:rsidRDefault="00331CCE" w:rsidP="17991C23">
      <w:pPr>
        <w:spacing w:after="0"/>
        <w:rPr>
          <w:rFonts w:ascii="Franklin Gothic Book" w:hAnsi="Franklin Gothic Book" w:cs="Comic Sans MS"/>
        </w:rPr>
      </w:pPr>
      <w:r w:rsidRPr="17991C23">
        <w:rPr>
          <w:rFonts w:ascii="Franklin Gothic Book" w:hAnsi="Franklin Gothic Book" w:cs="Comic Sans MS"/>
          <w:b/>
          <w:bCs/>
        </w:rPr>
        <w:t xml:space="preserve">MEMORANDUM </w:t>
      </w:r>
    </w:p>
    <w:p w14:paraId="3DDB1E9F" w14:textId="36943568" w:rsidR="00D904DD" w:rsidRPr="0058654A" w:rsidRDefault="00D904DD" w:rsidP="000C3BA0">
      <w:pPr>
        <w:spacing w:after="0"/>
        <w:rPr>
          <w:rFonts w:ascii="Franklin Gothic Book" w:hAnsi="Franklin Gothic Book" w:cs="Comic Sans MS"/>
        </w:rPr>
      </w:pPr>
      <w:r w:rsidRPr="0058654A">
        <w:rPr>
          <w:rFonts w:ascii="Franklin Gothic Book" w:hAnsi="Franklin Gothic Book" w:cs="Comic Sans MS"/>
          <w:b/>
          <w:bCs/>
        </w:rPr>
        <w:t xml:space="preserve">To: </w:t>
      </w:r>
      <w:r w:rsidRPr="0058654A">
        <w:rPr>
          <w:rFonts w:ascii="Franklin Gothic Book" w:hAnsi="Franklin Gothic Book"/>
        </w:rPr>
        <w:tab/>
      </w:r>
      <w:r w:rsidRPr="0058654A">
        <w:rPr>
          <w:rFonts w:ascii="Franklin Gothic Book" w:hAnsi="Franklin Gothic Book"/>
        </w:rPr>
        <w:tab/>
      </w:r>
      <w:r w:rsidR="005344B9" w:rsidRPr="0058654A">
        <w:rPr>
          <w:rFonts w:ascii="Franklin Gothic Book" w:hAnsi="Franklin Gothic Book" w:cs="Comic Sans MS"/>
        </w:rPr>
        <w:t>Maureen Wetta</w:t>
      </w:r>
      <w:r w:rsidR="00D850AB" w:rsidRPr="0058654A">
        <w:rPr>
          <w:rFonts w:ascii="Franklin Gothic Book" w:hAnsi="Franklin Gothic Book" w:cs="Comic Sans MS"/>
        </w:rPr>
        <w:t>, Chief Justice, Supreme Court</w:t>
      </w:r>
    </w:p>
    <w:p w14:paraId="08D729C6" w14:textId="12F36C27" w:rsidR="00C07C21" w:rsidRPr="0058654A" w:rsidRDefault="00C07C21" w:rsidP="000C3BA0">
      <w:pPr>
        <w:spacing w:after="0"/>
        <w:rPr>
          <w:rFonts w:ascii="Franklin Gothic Book" w:hAnsi="Franklin Gothic Book" w:cs="Comic Sans MS"/>
        </w:rPr>
      </w:pPr>
      <w:r w:rsidRPr="0058654A">
        <w:rPr>
          <w:rFonts w:ascii="Franklin Gothic Book" w:hAnsi="Franklin Gothic Book" w:cs="Comic Sans MS"/>
        </w:rPr>
        <w:tab/>
      </w:r>
      <w:r w:rsidRPr="0058654A">
        <w:rPr>
          <w:rFonts w:ascii="Franklin Gothic Book" w:hAnsi="Franklin Gothic Book" w:cs="Comic Sans MS"/>
        </w:rPr>
        <w:tab/>
        <w:t>Gigi Guzman, Chief Elections Commissioner</w:t>
      </w:r>
    </w:p>
    <w:p w14:paraId="1A328631" w14:textId="7BA0D56D" w:rsidR="0039615A" w:rsidRPr="0058654A" w:rsidRDefault="00560A04" w:rsidP="000C3BA0">
      <w:pPr>
        <w:spacing w:after="0"/>
        <w:ind w:left="1440" w:hanging="1440"/>
        <w:rPr>
          <w:rFonts w:ascii="Franklin Gothic Book" w:hAnsi="Franklin Gothic Book" w:cs="Comic Sans MS"/>
        </w:rPr>
      </w:pPr>
      <w:r w:rsidRPr="0058654A">
        <w:rPr>
          <w:rFonts w:ascii="Franklin Gothic Book" w:hAnsi="Franklin Gothic Book" w:cs="Comic Sans MS"/>
          <w:b/>
          <w:bCs/>
        </w:rPr>
        <w:t>From:</w:t>
      </w:r>
      <w:r w:rsidRPr="0058654A">
        <w:rPr>
          <w:rFonts w:ascii="Franklin Gothic Book" w:hAnsi="Franklin Gothic Book"/>
        </w:rPr>
        <w:tab/>
      </w:r>
      <w:r w:rsidR="005344B9" w:rsidRPr="0058654A">
        <w:rPr>
          <w:rFonts w:ascii="Franklin Gothic Book" w:hAnsi="Franklin Gothic Book"/>
        </w:rPr>
        <w:t>Vishnu Avva</w:t>
      </w:r>
    </w:p>
    <w:p w14:paraId="1F52C3C5" w14:textId="47E57161" w:rsidR="00314E85" w:rsidRPr="0058654A" w:rsidRDefault="00314E85" w:rsidP="000C3BA0">
      <w:pPr>
        <w:spacing w:after="0"/>
        <w:ind w:left="1440" w:hanging="1440"/>
        <w:rPr>
          <w:rFonts w:ascii="Franklin Gothic Book" w:hAnsi="Franklin Gothic Book" w:cs="Comic Sans MS"/>
        </w:rPr>
      </w:pPr>
      <w:r w:rsidRPr="0058654A">
        <w:rPr>
          <w:rFonts w:ascii="Franklin Gothic Book" w:hAnsi="Franklin Gothic Book" w:cs="Comic Sans MS"/>
          <w:b/>
        </w:rPr>
        <w:t>CC:</w:t>
      </w:r>
      <w:r w:rsidRPr="0058654A">
        <w:rPr>
          <w:rFonts w:ascii="Franklin Gothic Book" w:hAnsi="Franklin Gothic Book" w:cs="Comic Sans MS"/>
          <w:b/>
        </w:rPr>
        <w:tab/>
      </w:r>
      <w:r w:rsidR="005344B9" w:rsidRPr="0058654A">
        <w:rPr>
          <w:rFonts w:ascii="Franklin Gothic Book" w:hAnsi="Franklin Gothic Book" w:cs="Comic Sans MS"/>
          <w:b/>
        </w:rPr>
        <w:t>Advisor</w:t>
      </w:r>
      <w:r w:rsidR="008E58D7" w:rsidRPr="0058654A">
        <w:rPr>
          <w:rFonts w:ascii="Franklin Gothic Book" w:hAnsi="Franklin Gothic Book" w:cs="Comic Sans MS"/>
          <w:b/>
        </w:rPr>
        <w:t>s</w:t>
      </w:r>
      <w:r w:rsidR="005344B9" w:rsidRPr="0058654A">
        <w:rPr>
          <w:rFonts w:ascii="Franklin Gothic Book" w:hAnsi="Franklin Gothic Book" w:cs="Comic Sans MS"/>
          <w:b/>
        </w:rPr>
        <w:t xml:space="preserve"> Gabe Fonseca </w:t>
      </w:r>
    </w:p>
    <w:p w14:paraId="4E28B0F3" w14:textId="73BBEC34" w:rsidR="00D904DD" w:rsidRPr="0058654A" w:rsidRDefault="00D904DD" w:rsidP="005344B9">
      <w:pPr>
        <w:spacing w:after="0"/>
        <w:ind w:left="1440" w:hanging="1440"/>
        <w:rPr>
          <w:rFonts w:ascii="Franklin Gothic Book" w:hAnsi="Franklin Gothic Book" w:cs="Comic Sans MS"/>
        </w:rPr>
      </w:pPr>
      <w:r w:rsidRPr="0058654A">
        <w:rPr>
          <w:rFonts w:ascii="Franklin Gothic Book" w:hAnsi="Franklin Gothic Book" w:cs="Comic Sans MS"/>
          <w:b/>
          <w:bCs/>
        </w:rPr>
        <w:t xml:space="preserve">Subject: </w:t>
      </w:r>
      <w:r w:rsidRPr="0058654A">
        <w:rPr>
          <w:rFonts w:ascii="Franklin Gothic Book" w:hAnsi="Franklin Gothic Book"/>
        </w:rPr>
        <w:tab/>
      </w:r>
      <w:r w:rsidR="00C07C21" w:rsidRPr="0058654A">
        <w:rPr>
          <w:rFonts w:ascii="Franklin Gothic Book" w:hAnsi="Franklin Gothic Book"/>
        </w:rPr>
        <w:t>Constitutional Amendment</w:t>
      </w:r>
      <w:r w:rsidR="005344B9" w:rsidRPr="0058654A">
        <w:rPr>
          <w:rFonts w:ascii="Franklin Gothic Book" w:hAnsi="Franklin Gothic Book" w:cs="Comic Sans MS"/>
          <w:b/>
        </w:rPr>
        <w:t xml:space="preserve"> </w:t>
      </w:r>
      <w:r w:rsidR="00C07C21" w:rsidRPr="0058654A">
        <w:rPr>
          <w:rFonts w:ascii="Franklin Gothic Book" w:hAnsi="Franklin Gothic Book" w:cs="Comic Sans MS"/>
          <w:bCs/>
        </w:rPr>
        <w:t>Legality</w:t>
      </w:r>
    </w:p>
    <w:p w14:paraId="6E0C594F" w14:textId="71E80336" w:rsidR="00331CCE" w:rsidRPr="0058654A" w:rsidRDefault="00D904DD" w:rsidP="000C3BA0">
      <w:pPr>
        <w:pBdr>
          <w:bottom w:val="single" w:sz="4" w:space="1" w:color="auto"/>
        </w:pBdr>
        <w:spacing w:after="0"/>
        <w:rPr>
          <w:rFonts w:ascii="Franklin Gothic Book" w:hAnsi="Franklin Gothic Book" w:cs="Comic Sans MS"/>
        </w:rPr>
      </w:pPr>
      <w:r w:rsidRPr="0058654A">
        <w:rPr>
          <w:rFonts w:ascii="Franklin Gothic Book" w:hAnsi="Franklin Gothic Book" w:cs="Comic Sans MS"/>
          <w:b/>
          <w:bCs/>
        </w:rPr>
        <w:t>Date:</w:t>
      </w:r>
      <w:r w:rsidRPr="0058654A">
        <w:rPr>
          <w:rFonts w:ascii="Franklin Gothic Book" w:hAnsi="Franklin Gothic Book"/>
        </w:rPr>
        <w:tab/>
      </w:r>
      <w:r w:rsidRPr="0058654A">
        <w:rPr>
          <w:rFonts w:ascii="Franklin Gothic Book" w:hAnsi="Franklin Gothic Book"/>
        </w:rPr>
        <w:tab/>
      </w:r>
      <w:r w:rsidR="005344B9" w:rsidRPr="0058654A">
        <w:rPr>
          <w:rFonts w:ascii="Franklin Gothic Book" w:hAnsi="Franklin Gothic Book" w:cs="Comic Sans MS"/>
        </w:rPr>
        <w:t>0</w:t>
      </w:r>
      <w:r w:rsidR="00C07C21" w:rsidRPr="0058654A">
        <w:rPr>
          <w:rFonts w:ascii="Franklin Gothic Book" w:hAnsi="Franklin Gothic Book" w:cs="Comic Sans MS"/>
        </w:rPr>
        <w:t>1</w:t>
      </w:r>
      <w:r w:rsidR="00D850AB" w:rsidRPr="0058654A">
        <w:rPr>
          <w:rFonts w:ascii="Franklin Gothic Book" w:hAnsi="Franklin Gothic Book" w:cs="Comic Sans MS"/>
        </w:rPr>
        <w:t>/</w:t>
      </w:r>
      <w:r w:rsidR="00C07C21" w:rsidRPr="0058654A">
        <w:rPr>
          <w:rFonts w:ascii="Franklin Gothic Book" w:hAnsi="Franklin Gothic Book" w:cs="Comic Sans MS"/>
        </w:rPr>
        <w:t>25</w:t>
      </w:r>
      <w:r w:rsidR="00D850AB" w:rsidRPr="0058654A">
        <w:rPr>
          <w:rFonts w:ascii="Franklin Gothic Book" w:hAnsi="Franklin Gothic Book" w:cs="Comic Sans MS"/>
        </w:rPr>
        <w:t>/</w:t>
      </w:r>
      <w:r w:rsidR="005344B9" w:rsidRPr="0058654A">
        <w:rPr>
          <w:rFonts w:ascii="Franklin Gothic Book" w:hAnsi="Franklin Gothic Book" w:cs="Comic Sans MS"/>
        </w:rPr>
        <w:t>202</w:t>
      </w:r>
      <w:r w:rsidR="00C07C21" w:rsidRPr="0058654A">
        <w:rPr>
          <w:rFonts w:ascii="Franklin Gothic Book" w:hAnsi="Franklin Gothic Book" w:cs="Comic Sans MS"/>
        </w:rPr>
        <w:t>4</w:t>
      </w:r>
    </w:p>
    <w:p w14:paraId="0819766F" w14:textId="298C7844" w:rsidR="17991C23" w:rsidRDefault="17991C23" w:rsidP="17991C23">
      <w:pPr>
        <w:spacing w:after="0"/>
        <w:rPr>
          <w:rFonts w:ascii="Franklin Gothic Book" w:hAnsi="Franklin Gothic Book" w:cs="Comic Sans MS"/>
        </w:rPr>
      </w:pPr>
    </w:p>
    <w:p w14:paraId="20DF8932" w14:textId="5A9A3781" w:rsidR="1BE136A3" w:rsidRDefault="1BE136A3" w:rsidP="17991C23">
      <w:pPr>
        <w:spacing w:after="0"/>
      </w:pPr>
      <w:r w:rsidRPr="17991C23">
        <w:rPr>
          <w:rFonts w:ascii="Franklin Gothic Book" w:hAnsi="Franklin Gothic Book"/>
          <w:sz w:val="22"/>
          <w:szCs w:val="22"/>
        </w:rPr>
        <w:t>Members of the Court</w:t>
      </w:r>
      <w:r w:rsidR="00C07C21">
        <w:rPr>
          <w:rFonts w:ascii="Franklin Gothic Book" w:hAnsi="Franklin Gothic Book"/>
          <w:sz w:val="22"/>
          <w:szCs w:val="22"/>
        </w:rPr>
        <w:t xml:space="preserve"> and Elections Commission</w:t>
      </w:r>
      <w:r w:rsidRPr="17991C23">
        <w:rPr>
          <w:rFonts w:ascii="Franklin Gothic Book" w:hAnsi="Franklin Gothic Book"/>
          <w:sz w:val="22"/>
          <w:szCs w:val="22"/>
        </w:rPr>
        <w:t>,</w:t>
      </w:r>
    </w:p>
    <w:p w14:paraId="0FA6F9DC" w14:textId="0B323F0E" w:rsidR="17991C23" w:rsidRDefault="17991C23" w:rsidP="17991C23">
      <w:pPr>
        <w:spacing w:after="0"/>
        <w:rPr>
          <w:rFonts w:ascii="Franklin Gothic Book" w:hAnsi="Franklin Gothic Book"/>
          <w:sz w:val="22"/>
          <w:szCs w:val="22"/>
        </w:rPr>
      </w:pPr>
    </w:p>
    <w:p w14:paraId="61C06BD1" w14:textId="6060DE0D" w:rsidR="002F0DAE" w:rsidRDefault="00C07C21" w:rsidP="00C07C21">
      <w:pPr>
        <w:rPr>
          <w:rFonts w:ascii="Franklin Gothic Book" w:hAnsi="Franklin Gothic Book"/>
          <w:sz w:val="22"/>
          <w:szCs w:val="22"/>
        </w:rPr>
      </w:pPr>
      <w:r>
        <w:rPr>
          <w:rFonts w:ascii="Franklin Gothic Book" w:hAnsi="Franklin Gothic Book"/>
          <w:sz w:val="22"/>
          <w:szCs w:val="22"/>
        </w:rPr>
        <w:t>O</w:t>
      </w:r>
      <w:r w:rsidR="002F0DAE">
        <w:rPr>
          <w:rFonts w:ascii="Franklin Gothic Book" w:hAnsi="Franklin Gothic Book"/>
          <w:sz w:val="22"/>
          <w:szCs w:val="22"/>
        </w:rPr>
        <w:t xml:space="preserve">n </w:t>
      </w:r>
      <w:r>
        <w:rPr>
          <w:rFonts w:ascii="Franklin Gothic Book" w:hAnsi="Franklin Gothic Book"/>
          <w:sz w:val="22"/>
          <w:szCs w:val="22"/>
        </w:rPr>
        <w:t>January</w:t>
      </w:r>
      <w:r w:rsidR="002F0DAE">
        <w:rPr>
          <w:rFonts w:ascii="Franklin Gothic Book" w:hAnsi="Franklin Gothic Book"/>
          <w:sz w:val="22"/>
          <w:szCs w:val="22"/>
        </w:rPr>
        <w:t xml:space="preserve"> </w:t>
      </w:r>
      <w:r>
        <w:rPr>
          <w:rFonts w:ascii="Franklin Gothic Book" w:hAnsi="Franklin Gothic Book"/>
          <w:sz w:val="22"/>
          <w:szCs w:val="22"/>
        </w:rPr>
        <w:t>24</w:t>
      </w:r>
      <w:r w:rsidR="002F0DAE" w:rsidRPr="002F0DAE">
        <w:rPr>
          <w:rFonts w:ascii="Franklin Gothic Book" w:hAnsi="Franklin Gothic Book"/>
          <w:sz w:val="22"/>
          <w:szCs w:val="22"/>
          <w:vertAlign w:val="superscript"/>
        </w:rPr>
        <w:t>th</w:t>
      </w:r>
      <w:r w:rsidR="002F0DAE">
        <w:rPr>
          <w:rFonts w:ascii="Franklin Gothic Book" w:hAnsi="Franklin Gothic Book"/>
          <w:sz w:val="22"/>
          <w:szCs w:val="22"/>
        </w:rPr>
        <w:t>, 202</w:t>
      </w:r>
      <w:r>
        <w:rPr>
          <w:rFonts w:ascii="Franklin Gothic Book" w:hAnsi="Franklin Gothic Book"/>
          <w:sz w:val="22"/>
          <w:szCs w:val="22"/>
        </w:rPr>
        <w:t>4</w:t>
      </w:r>
      <w:r w:rsidR="002F0DAE">
        <w:rPr>
          <w:rFonts w:ascii="Franklin Gothic Book" w:hAnsi="Franklin Gothic Book"/>
          <w:sz w:val="22"/>
          <w:szCs w:val="22"/>
        </w:rPr>
        <w:t xml:space="preserve">, </w:t>
      </w:r>
      <w:r>
        <w:rPr>
          <w:rFonts w:ascii="Franklin Gothic Book" w:hAnsi="Franklin Gothic Book"/>
          <w:sz w:val="22"/>
          <w:szCs w:val="22"/>
        </w:rPr>
        <w:t xml:space="preserve">SGA Chief Elections Commissioner Gigi Guzman declared passage of the Senate Seat Reapportionment Act by a simple majority vote. It was also reported that only 2.5% of eligible voters participated in the special election. </w:t>
      </w:r>
    </w:p>
    <w:p w14:paraId="74402A29" w14:textId="562FBD8A" w:rsidR="00C07C21" w:rsidRDefault="00C07C21" w:rsidP="00C07C21">
      <w:pPr>
        <w:rPr>
          <w:rFonts w:ascii="Franklin Gothic Book" w:hAnsi="Franklin Gothic Book"/>
          <w:sz w:val="22"/>
          <w:szCs w:val="22"/>
        </w:rPr>
      </w:pPr>
      <w:r>
        <w:rPr>
          <w:rFonts w:ascii="Franklin Gothic Book" w:hAnsi="Franklin Gothic Book"/>
          <w:sz w:val="22"/>
          <w:szCs w:val="22"/>
        </w:rPr>
        <w:t xml:space="preserve">We </w:t>
      </w:r>
      <w:r w:rsidR="00D5151F">
        <w:rPr>
          <w:rFonts w:ascii="Franklin Gothic Book" w:hAnsi="Franklin Gothic Book"/>
          <w:sz w:val="22"/>
          <w:szCs w:val="22"/>
        </w:rPr>
        <w:t>contend</w:t>
      </w:r>
      <w:r>
        <w:rPr>
          <w:rFonts w:ascii="Franklin Gothic Book" w:hAnsi="Franklin Gothic Book"/>
          <w:sz w:val="22"/>
          <w:szCs w:val="22"/>
        </w:rPr>
        <w:t xml:space="preserve"> that the passage of the Senate Seat Reapportionment Act is plainly unconstitutional under </w:t>
      </w:r>
      <w:r w:rsidR="00D5151F">
        <w:rPr>
          <w:rFonts w:ascii="Franklin Gothic Book" w:hAnsi="Franklin Gothic Book"/>
          <w:sz w:val="22"/>
          <w:szCs w:val="22"/>
        </w:rPr>
        <w:t xml:space="preserve">Article IX of the Constitution and Article IX Chapter 9 Section 1 Clause 3 of the bylaws. </w:t>
      </w:r>
    </w:p>
    <w:p w14:paraId="015F27BF" w14:textId="647DF9DD" w:rsidR="00DD20CB" w:rsidRDefault="00DD20CB" w:rsidP="00C07C21">
      <w:pPr>
        <w:rPr>
          <w:rFonts w:ascii="Franklin Gothic Book" w:hAnsi="Franklin Gothic Book"/>
          <w:sz w:val="22"/>
          <w:szCs w:val="22"/>
        </w:rPr>
      </w:pPr>
      <w:r>
        <w:rPr>
          <w:rFonts w:ascii="Franklin Gothic Book" w:hAnsi="Franklin Gothic Book"/>
          <w:sz w:val="22"/>
          <w:szCs w:val="22"/>
        </w:rPr>
        <w:t xml:space="preserve">We would like to begin by saying it is unclear which body, the Elections Commission or Supreme Court, has the authority to hear this claim as election appeals go to the Elections Commission, but constitutional suits go to the Supreme Court. For that reason, we submit this to both bodies and ask the Supreme Court </w:t>
      </w:r>
      <w:r w:rsidR="0059392E">
        <w:rPr>
          <w:rFonts w:ascii="Franklin Gothic Book" w:hAnsi="Franklin Gothic Book"/>
          <w:sz w:val="22"/>
          <w:szCs w:val="22"/>
        </w:rPr>
        <w:t>to clarify</w:t>
      </w:r>
      <w:r>
        <w:rPr>
          <w:rFonts w:ascii="Franklin Gothic Book" w:hAnsi="Franklin Gothic Book"/>
          <w:sz w:val="22"/>
          <w:szCs w:val="22"/>
        </w:rPr>
        <w:t xml:space="preserve"> </w:t>
      </w:r>
      <w:r w:rsidR="0059392E">
        <w:rPr>
          <w:rFonts w:ascii="Franklin Gothic Book" w:hAnsi="Franklin Gothic Book"/>
          <w:sz w:val="22"/>
          <w:szCs w:val="22"/>
        </w:rPr>
        <w:t xml:space="preserve">jurisdiction </w:t>
      </w:r>
      <w:r>
        <w:rPr>
          <w:rFonts w:ascii="Franklin Gothic Book" w:hAnsi="Franklin Gothic Book"/>
          <w:sz w:val="22"/>
          <w:szCs w:val="22"/>
        </w:rPr>
        <w:t>for future cases.</w:t>
      </w:r>
      <w:r w:rsidR="0059392E">
        <w:rPr>
          <w:rFonts w:ascii="Franklin Gothic Book" w:hAnsi="Franklin Gothic Book"/>
          <w:sz w:val="22"/>
          <w:szCs w:val="22"/>
        </w:rPr>
        <w:t xml:space="preserve"> We are not submitting an argument on this point and are willing to engage with whatever the Court decides on this opinion.</w:t>
      </w:r>
    </w:p>
    <w:p w14:paraId="5D859118" w14:textId="2E97F27B" w:rsidR="00D5151F" w:rsidRDefault="00D5151F" w:rsidP="00C07C21">
      <w:pPr>
        <w:rPr>
          <w:rFonts w:ascii="Franklin Gothic Book" w:hAnsi="Franklin Gothic Book"/>
          <w:sz w:val="22"/>
          <w:szCs w:val="22"/>
        </w:rPr>
      </w:pPr>
      <w:r>
        <w:rPr>
          <w:rFonts w:ascii="Franklin Gothic Book" w:hAnsi="Franklin Gothic Book"/>
          <w:sz w:val="22"/>
          <w:szCs w:val="22"/>
        </w:rPr>
        <w:t>Article IX of the Constitution states “This Constitution shall be deemed amended if any proposed amendment receives a simple majority of the votes cast at any election. The Senate must call said special election if it is presented with a petition signed by seven percent (7%) of the Association’s members proposing a specific amendment. An Amendment to the Constitution submitted in a referendum shall become effective only upon receiving a positive vote in a referendum participated in by at least seven percent (7%) of the Association’s membership.”</w:t>
      </w:r>
    </w:p>
    <w:p w14:paraId="23A429C1" w14:textId="35AB638B" w:rsidR="00D5151F" w:rsidRDefault="00D5151F" w:rsidP="00C07C21">
      <w:pPr>
        <w:rPr>
          <w:rFonts w:ascii="Franklin Gothic Book" w:hAnsi="Franklin Gothic Book"/>
          <w:sz w:val="22"/>
          <w:szCs w:val="22"/>
        </w:rPr>
      </w:pPr>
      <w:r>
        <w:rPr>
          <w:rFonts w:ascii="Franklin Gothic Book" w:hAnsi="Franklin Gothic Book"/>
          <w:sz w:val="22"/>
          <w:szCs w:val="22"/>
        </w:rPr>
        <w:t>Article IX of the Constitution creates three clauses:</w:t>
      </w:r>
    </w:p>
    <w:p w14:paraId="1EF9DF10" w14:textId="4BCBD119" w:rsidR="00D5151F" w:rsidRDefault="00D5151F" w:rsidP="00D5151F">
      <w:pPr>
        <w:pStyle w:val="ListParagraph"/>
        <w:numPr>
          <w:ilvl w:val="0"/>
          <w:numId w:val="9"/>
        </w:numPr>
        <w:rPr>
          <w:rFonts w:ascii="Franklin Gothic Book" w:hAnsi="Franklin Gothic Book"/>
          <w:sz w:val="22"/>
          <w:szCs w:val="22"/>
        </w:rPr>
      </w:pPr>
      <w:r>
        <w:rPr>
          <w:rFonts w:ascii="Franklin Gothic Book" w:hAnsi="Franklin Gothic Book"/>
          <w:sz w:val="22"/>
          <w:szCs w:val="22"/>
        </w:rPr>
        <w:t>Constitutional amendments require a simple majority vote of an election to pass;</w:t>
      </w:r>
    </w:p>
    <w:p w14:paraId="54CD615E" w14:textId="5078E52D" w:rsidR="00D5151F" w:rsidRDefault="00D5151F" w:rsidP="00D5151F">
      <w:pPr>
        <w:pStyle w:val="ListParagraph"/>
        <w:numPr>
          <w:ilvl w:val="0"/>
          <w:numId w:val="9"/>
        </w:numPr>
        <w:rPr>
          <w:rFonts w:ascii="Franklin Gothic Book" w:hAnsi="Franklin Gothic Book"/>
          <w:sz w:val="22"/>
          <w:szCs w:val="22"/>
        </w:rPr>
      </w:pPr>
      <w:r>
        <w:rPr>
          <w:rFonts w:ascii="Franklin Gothic Book" w:hAnsi="Franklin Gothic Book"/>
          <w:sz w:val="22"/>
          <w:szCs w:val="22"/>
        </w:rPr>
        <w:t xml:space="preserve">Constitutional amendments may be submitted by the student body if it receives seven percent (7%) Association membership signatures; </w:t>
      </w:r>
    </w:p>
    <w:p w14:paraId="22F31CCE" w14:textId="0DCB359C" w:rsidR="00D5151F" w:rsidRDefault="00D5151F" w:rsidP="00D5151F">
      <w:pPr>
        <w:pStyle w:val="ListParagraph"/>
        <w:numPr>
          <w:ilvl w:val="0"/>
          <w:numId w:val="9"/>
        </w:numPr>
        <w:rPr>
          <w:rFonts w:ascii="Franklin Gothic Book" w:hAnsi="Franklin Gothic Book"/>
          <w:sz w:val="22"/>
          <w:szCs w:val="22"/>
        </w:rPr>
      </w:pPr>
      <w:r>
        <w:rPr>
          <w:rFonts w:ascii="Franklin Gothic Book" w:hAnsi="Franklin Gothic Book"/>
          <w:sz w:val="22"/>
          <w:szCs w:val="22"/>
        </w:rPr>
        <w:t xml:space="preserve">Constitutional amendments require seven percent (7%) turnout to be subject to clause 1 and be passed. </w:t>
      </w:r>
    </w:p>
    <w:p w14:paraId="391C85AB" w14:textId="10CD5A36" w:rsidR="00D5151F" w:rsidRDefault="00D5151F" w:rsidP="00D5151F">
      <w:pPr>
        <w:rPr>
          <w:rFonts w:ascii="Franklin Gothic Book" w:hAnsi="Franklin Gothic Book"/>
          <w:sz w:val="22"/>
          <w:szCs w:val="22"/>
        </w:rPr>
      </w:pPr>
      <w:r>
        <w:rPr>
          <w:rFonts w:ascii="Franklin Gothic Book" w:hAnsi="Franklin Gothic Book"/>
          <w:sz w:val="22"/>
          <w:szCs w:val="22"/>
        </w:rPr>
        <w:t>Article IX. Chapter 9. Section 1. Clause 3 of the Bylaws states that “Any constitutional amendment that receives a simple majority vote in the affirmative shall be considered adopted and enacted, provided that the minimum number of votes outlined in Article VIII of the Constitution is achieved.”</w:t>
      </w:r>
    </w:p>
    <w:p w14:paraId="7D1FB459" w14:textId="5564A50C" w:rsidR="00D5151F" w:rsidRDefault="00D5151F" w:rsidP="00D5151F">
      <w:pPr>
        <w:rPr>
          <w:rFonts w:ascii="Franklin Gothic Book" w:hAnsi="Franklin Gothic Book"/>
          <w:sz w:val="22"/>
          <w:szCs w:val="22"/>
        </w:rPr>
      </w:pPr>
      <w:r>
        <w:rPr>
          <w:rFonts w:ascii="Franklin Gothic Book" w:hAnsi="Franklin Gothic Book"/>
          <w:sz w:val="22"/>
          <w:szCs w:val="22"/>
        </w:rPr>
        <w:lastRenderedPageBreak/>
        <w:t>Article IX Chapter 9 Section 1 Clause 3 creates two components:</w:t>
      </w:r>
    </w:p>
    <w:p w14:paraId="12EF5989" w14:textId="63CF26D0" w:rsidR="00D5151F" w:rsidRDefault="00D5151F" w:rsidP="00D5151F">
      <w:pPr>
        <w:pStyle w:val="ListParagraph"/>
        <w:numPr>
          <w:ilvl w:val="0"/>
          <w:numId w:val="10"/>
        </w:numPr>
        <w:rPr>
          <w:rFonts w:ascii="Franklin Gothic Book" w:hAnsi="Franklin Gothic Book"/>
          <w:sz w:val="22"/>
          <w:szCs w:val="22"/>
        </w:rPr>
      </w:pPr>
      <w:r>
        <w:rPr>
          <w:rFonts w:ascii="Franklin Gothic Book" w:hAnsi="Franklin Gothic Book"/>
          <w:sz w:val="22"/>
          <w:szCs w:val="22"/>
        </w:rPr>
        <w:t xml:space="preserve">Constitutional amendments </w:t>
      </w:r>
      <w:r w:rsidR="00DD20CB">
        <w:rPr>
          <w:rFonts w:ascii="Franklin Gothic Book" w:hAnsi="Franklin Gothic Book"/>
          <w:sz w:val="22"/>
          <w:szCs w:val="22"/>
        </w:rPr>
        <w:t>shall be adopted and enacted with a simple majority vote;</w:t>
      </w:r>
    </w:p>
    <w:p w14:paraId="2A907C53" w14:textId="240415D8" w:rsidR="00DD20CB" w:rsidRDefault="00DD20CB" w:rsidP="00D5151F">
      <w:pPr>
        <w:pStyle w:val="ListParagraph"/>
        <w:numPr>
          <w:ilvl w:val="0"/>
          <w:numId w:val="10"/>
        </w:numPr>
        <w:rPr>
          <w:rFonts w:ascii="Franklin Gothic Book" w:hAnsi="Franklin Gothic Book"/>
          <w:sz w:val="22"/>
          <w:szCs w:val="22"/>
        </w:rPr>
      </w:pPr>
      <w:r>
        <w:rPr>
          <w:rFonts w:ascii="Franklin Gothic Book" w:hAnsi="Franklin Gothic Book"/>
          <w:sz w:val="22"/>
          <w:szCs w:val="22"/>
        </w:rPr>
        <w:t>All constitutional amendments are subject to the minimum number of votes (seven percent) as set forth in the constitution.</w:t>
      </w:r>
    </w:p>
    <w:p w14:paraId="21305B10" w14:textId="3CECDA0A" w:rsidR="00DD20CB" w:rsidRDefault="00DD20CB" w:rsidP="00DD20CB">
      <w:pPr>
        <w:rPr>
          <w:rFonts w:ascii="Franklin Gothic Book" w:hAnsi="Franklin Gothic Book"/>
          <w:sz w:val="22"/>
          <w:szCs w:val="22"/>
        </w:rPr>
      </w:pPr>
      <w:r>
        <w:rPr>
          <w:rFonts w:ascii="Franklin Gothic Book" w:hAnsi="Franklin Gothic Book"/>
          <w:sz w:val="22"/>
          <w:szCs w:val="22"/>
        </w:rPr>
        <w:t xml:space="preserve">The first route to understanding the unconstitutionality of this Act is found directly in the Constitution under Article IX. “An Amendment to the Constitution submitted in a referendum shall become effective only upon receiving a positive vote in a referendum participated in by at least seven percent (7%) of the Association’s membership” clearly and plainly states that constitutional amendments submitted in a referendum (an election) </w:t>
      </w:r>
      <w:r>
        <w:rPr>
          <w:rFonts w:ascii="Franklin Gothic Book" w:hAnsi="Franklin Gothic Book"/>
          <w:b/>
          <w:bCs/>
          <w:i/>
          <w:iCs/>
          <w:sz w:val="22"/>
          <w:szCs w:val="22"/>
        </w:rPr>
        <w:t>must</w:t>
      </w:r>
      <w:r>
        <w:rPr>
          <w:rFonts w:ascii="Franklin Gothic Book" w:hAnsi="Franklin Gothic Book"/>
          <w:sz w:val="22"/>
          <w:szCs w:val="22"/>
        </w:rPr>
        <w:t xml:space="preserve"> be passed in an election participated in by at least </w:t>
      </w:r>
      <w:r>
        <w:rPr>
          <w:rFonts w:ascii="Franklin Gothic Book" w:hAnsi="Franklin Gothic Book"/>
          <w:b/>
          <w:bCs/>
          <w:sz w:val="22"/>
          <w:szCs w:val="22"/>
        </w:rPr>
        <w:t>seven percent</w:t>
      </w:r>
      <w:r>
        <w:rPr>
          <w:rFonts w:ascii="Franklin Gothic Book" w:hAnsi="Franklin Gothic Book"/>
          <w:sz w:val="22"/>
          <w:szCs w:val="22"/>
        </w:rPr>
        <w:t xml:space="preserve"> of the student body. Seven percent is larger than two-and-a-half percent, and thus, the amendment should be prevented from being adopted and enacted. </w:t>
      </w:r>
    </w:p>
    <w:p w14:paraId="679D07D6" w14:textId="57A55807" w:rsidR="00DD20CB" w:rsidRDefault="00E40BC2" w:rsidP="00DD20CB">
      <w:pPr>
        <w:rPr>
          <w:rFonts w:ascii="Franklin Gothic Book" w:hAnsi="Franklin Gothic Book"/>
          <w:sz w:val="22"/>
          <w:szCs w:val="22"/>
        </w:rPr>
      </w:pPr>
      <w:r>
        <w:rPr>
          <w:rFonts w:ascii="Franklin Gothic Book" w:hAnsi="Franklin Gothic Book"/>
          <w:sz w:val="22"/>
          <w:szCs w:val="22"/>
        </w:rPr>
        <w:t>While the term “referendum” is used here, it is necessary to argue that this means “election” in this context. While “constitutional amendment” and “referendum” are used in different contexts throughout the Constitutional, the usage of “referendum” in an article solely dedicated to the purpose of constitutional amendments means the two terms are synonymous for this purpose. Further, there is no basis for arguing that Article IX of the Constitution only applies a seven percent turnout requirement to constitutional amendments submitted via petition. First, the term “petition” is not used in the third and final clause identified, should that have been the intent of the framers, “petition” would be clarified here. Second, it would be redundant to require a seven percent turnout on a vote for a petition already having been verified to have been signed by seven percent of the Association membership. The framer’s intent here is clear, all constitutional amendments require a seven percent turnout threshold.</w:t>
      </w:r>
    </w:p>
    <w:p w14:paraId="766C92AE" w14:textId="6509D3F5" w:rsidR="0059392E" w:rsidRDefault="00E40BC2" w:rsidP="00DD20CB">
      <w:pPr>
        <w:rPr>
          <w:rFonts w:ascii="Franklin Gothic Book" w:hAnsi="Franklin Gothic Book"/>
          <w:sz w:val="22"/>
          <w:szCs w:val="22"/>
        </w:rPr>
      </w:pPr>
      <w:r>
        <w:rPr>
          <w:rFonts w:ascii="Franklin Gothic Book" w:hAnsi="Franklin Gothic Book"/>
          <w:sz w:val="22"/>
          <w:szCs w:val="22"/>
        </w:rPr>
        <w:t xml:space="preserve">Even if the Court rejects our previous claims, we still find a violation </w:t>
      </w:r>
      <w:proofErr w:type="spellStart"/>
      <w:r>
        <w:rPr>
          <w:rFonts w:ascii="Franklin Gothic Book" w:hAnsi="Franklin Gothic Book"/>
          <w:sz w:val="22"/>
          <w:szCs w:val="22"/>
        </w:rPr>
        <w:t>i</w:t>
      </w:r>
      <w:r w:rsidR="0059392E">
        <w:rPr>
          <w:rFonts w:ascii="Franklin Gothic Book" w:hAnsi="Franklin Gothic Book"/>
          <w:sz w:val="22"/>
          <w:szCs w:val="22"/>
        </w:rPr>
        <w:t>through</w:t>
      </w:r>
      <w:proofErr w:type="spellEnd"/>
      <w:r>
        <w:rPr>
          <w:rFonts w:ascii="Franklin Gothic Book" w:hAnsi="Franklin Gothic Book"/>
          <w:sz w:val="22"/>
          <w:szCs w:val="22"/>
        </w:rPr>
        <w:t xml:space="preserve"> Article IX of the Bylaws. The Bylaws </w:t>
      </w:r>
      <w:r>
        <w:rPr>
          <w:rFonts w:ascii="Franklin Gothic Book" w:hAnsi="Franklin Gothic Book"/>
          <w:i/>
          <w:iCs/>
          <w:sz w:val="22"/>
          <w:szCs w:val="22"/>
        </w:rPr>
        <w:t>more clearly and plainly</w:t>
      </w:r>
      <w:r>
        <w:rPr>
          <w:rFonts w:ascii="Franklin Gothic Book" w:hAnsi="Franklin Gothic Book"/>
          <w:sz w:val="22"/>
          <w:szCs w:val="22"/>
        </w:rPr>
        <w:t xml:space="preserve"> state that </w:t>
      </w:r>
      <w:r w:rsidRPr="00E40BC2">
        <w:rPr>
          <w:rFonts w:ascii="Franklin Gothic Book" w:hAnsi="Franklin Gothic Book"/>
          <w:b/>
          <w:bCs/>
          <w:sz w:val="22"/>
          <w:szCs w:val="22"/>
        </w:rPr>
        <w:t>all</w:t>
      </w:r>
      <w:r>
        <w:rPr>
          <w:rFonts w:ascii="Franklin Gothic Book" w:hAnsi="Franklin Gothic Book"/>
          <w:b/>
          <w:bCs/>
          <w:sz w:val="22"/>
          <w:szCs w:val="22"/>
        </w:rPr>
        <w:t xml:space="preserve"> </w:t>
      </w:r>
      <w:r>
        <w:rPr>
          <w:rFonts w:ascii="Franklin Gothic Book" w:hAnsi="Franklin Gothic Book"/>
          <w:sz w:val="22"/>
          <w:szCs w:val="22"/>
        </w:rPr>
        <w:t xml:space="preserve">constitutional amendments are subject to the seven percent threshold. “Any constitutional amendment… shall be considered adopted and enacted, provided that the minimum number of votes outlined in Article VIII of the Constitution is achieved.” While either a typo exists or either document was not updated after an amendment, “Article VIII” of the constitutional is clearly meant to refer to Article IX. </w:t>
      </w:r>
    </w:p>
    <w:p w14:paraId="3EF12241" w14:textId="6B9CB8DB" w:rsidR="00E40BC2" w:rsidRDefault="0059392E" w:rsidP="00DD20CB">
      <w:pPr>
        <w:rPr>
          <w:rFonts w:ascii="Franklin Gothic Book" w:hAnsi="Franklin Gothic Book"/>
          <w:sz w:val="22"/>
          <w:szCs w:val="22"/>
        </w:rPr>
      </w:pPr>
      <w:r>
        <w:rPr>
          <w:rFonts w:ascii="Franklin Gothic Book" w:hAnsi="Franklin Gothic Book"/>
          <w:sz w:val="22"/>
          <w:szCs w:val="22"/>
        </w:rPr>
        <w:t xml:space="preserve">Merriam-Webster defines “any” as “as in </w:t>
      </w:r>
      <w:r>
        <w:rPr>
          <w:rFonts w:ascii="Franklin Gothic Book" w:hAnsi="Franklin Gothic Book"/>
          <w:i/>
          <w:iCs/>
          <w:sz w:val="22"/>
          <w:szCs w:val="22"/>
        </w:rPr>
        <w:t>every</w:t>
      </w:r>
      <w:r>
        <w:rPr>
          <w:rFonts w:ascii="Franklin Gothic Book" w:hAnsi="Franklin Gothic Book"/>
          <w:sz w:val="22"/>
          <w:szCs w:val="22"/>
        </w:rPr>
        <w:t xml:space="preserve">.” </w:t>
      </w:r>
    </w:p>
    <w:p w14:paraId="5E419A00" w14:textId="0885F735" w:rsidR="0059392E" w:rsidRDefault="0059392E" w:rsidP="00DD20CB">
      <w:pPr>
        <w:rPr>
          <w:rFonts w:ascii="Franklin Gothic Book" w:hAnsi="Franklin Gothic Book"/>
          <w:sz w:val="22"/>
          <w:szCs w:val="22"/>
        </w:rPr>
      </w:pPr>
      <w:r w:rsidRPr="0059392E">
        <w:rPr>
          <w:rFonts w:ascii="Franklin Gothic Book" w:hAnsi="Franklin Gothic Book"/>
          <w:noProof/>
          <w:sz w:val="22"/>
          <w:szCs w:val="22"/>
        </w:rPr>
        <w:drawing>
          <wp:inline distT="0" distB="0" distL="0" distR="0" wp14:anchorId="16696D4B" wp14:editId="438A0FEE">
            <wp:extent cx="4152900" cy="1843050"/>
            <wp:effectExtent l="0" t="0" r="0" b="5080"/>
            <wp:docPr id="159449125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91253" name="Picture 1" descr="A white background with black text&#10;&#10;Description automatically generated"/>
                    <pic:cNvPicPr/>
                  </pic:nvPicPr>
                  <pic:blipFill>
                    <a:blip r:embed="rId11"/>
                    <a:stretch>
                      <a:fillRect/>
                    </a:stretch>
                  </pic:blipFill>
                  <pic:spPr>
                    <a:xfrm>
                      <a:off x="0" y="0"/>
                      <a:ext cx="4153531" cy="1843330"/>
                    </a:xfrm>
                    <a:prstGeom prst="rect">
                      <a:avLst/>
                    </a:prstGeom>
                  </pic:spPr>
                </pic:pic>
              </a:graphicData>
            </a:graphic>
          </wp:inline>
        </w:drawing>
      </w:r>
    </w:p>
    <w:p w14:paraId="453E4668" w14:textId="5CCFE812" w:rsidR="0059392E" w:rsidRDefault="0059392E" w:rsidP="00DD20CB">
      <w:pPr>
        <w:rPr>
          <w:rFonts w:ascii="Franklin Gothic Book" w:hAnsi="Franklin Gothic Book"/>
          <w:sz w:val="22"/>
          <w:szCs w:val="22"/>
        </w:rPr>
      </w:pPr>
      <w:r>
        <w:rPr>
          <w:rFonts w:ascii="Franklin Gothic Book" w:hAnsi="Franklin Gothic Book"/>
          <w:b/>
          <w:bCs/>
          <w:sz w:val="22"/>
          <w:szCs w:val="22"/>
        </w:rPr>
        <w:lastRenderedPageBreak/>
        <w:t>EVERY</w:t>
      </w:r>
      <w:r>
        <w:rPr>
          <w:rFonts w:ascii="Franklin Gothic Book" w:hAnsi="Franklin Gothic Book"/>
          <w:sz w:val="22"/>
          <w:szCs w:val="22"/>
        </w:rPr>
        <w:t xml:space="preserve"> constitutional amendment only passes if the minimum number of votes (seven percent) is achieved. This does not create a requirement for votes in favor, but “minimum number of votes” in the entire election. If the Court does not believe that the Constitutional provision itself applies to this election, the Bylaws very clearly provide guidance that </w:t>
      </w:r>
      <w:r>
        <w:rPr>
          <w:rFonts w:ascii="Franklin Gothic Book" w:hAnsi="Franklin Gothic Book"/>
          <w:i/>
          <w:iCs/>
          <w:sz w:val="22"/>
          <w:szCs w:val="22"/>
        </w:rPr>
        <w:t>all</w:t>
      </w:r>
      <w:r>
        <w:rPr>
          <w:rFonts w:ascii="Franklin Gothic Book" w:hAnsi="Franklin Gothic Book"/>
          <w:sz w:val="22"/>
          <w:szCs w:val="22"/>
        </w:rPr>
        <w:t xml:space="preserve"> constitutional amendments, including those submitted in a special election, must reach the seven percent threshold. Even if the Court believes that the Constitution itself only applies a seven percent threshold to petition amendments or uses some other definition of “referendum,” the Bylaws </w:t>
      </w:r>
      <w:r>
        <w:rPr>
          <w:rFonts w:ascii="Franklin Gothic Book" w:hAnsi="Franklin Gothic Book"/>
          <w:i/>
          <w:iCs/>
          <w:sz w:val="22"/>
          <w:szCs w:val="22"/>
        </w:rPr>
        <w:t>still</w:t>
      </w:r>
      <w:r>
        <w:rPr>
          <w:rFonts w:ascii="Franklin Gothic Book" w:hAnsi="Franklin Gothic Book"/>
          <w:sz w:val="22"/>
          <w:szCs w:val="22"/>
        </w:rPr>
        <w:t xml:space="preserve"> apply, even if just to hijack a separate clause to be used for its own purposes.</w:t>
      </w:r>
    </w:p>
    <w:p w14:paraId="3575AEBF" w14:textId="4FFCF27C" w:rsidR="0059392E" w:rsidRPr="0059392E" w:rsidRDefault="0059392E" w:rsidP="00DD20CB">
      <w:pPr>
        <w:rPr>
          <w:rFonts w:ascii="Franklin Gothic Book" w:hAnsi="Franklin Gothic Book"/>
          <w:sz w:val="22"/>
          <w:szCs w:val="22"/>
        </w:rPr>
      </w:pPr>
      <w:r>
        <w:rPr>
          <w:rFonts w:ascii="Franklin Gothic Book" w:hAnsi="Franklin Gothic Book"/>
          <w:sz w:val="22"/>
          <w:szCs w:val="22"/>
        </w:rPr>
        <w:t xml:space="preserve">In closing, democracy is the pure embodiment of our shared aspirations for a just and free society. It is the bedrock on which our government can exist, function, and draw its legitimacy. In our democracy, each citizen holds the power to shape the destiny of our Association, but </w:t>
      </w:r>
      <w:r w:rsidR="00BE5A17">
        <w:rPr>
          <w:rFonts w:ascii="Franklin Gothic Book" w:hAnsi="Franklin Gothic Book"/>
          <w:sz w:val="22"/>
          <w:szCs w:val="22"/>
        </w:rPr>
        <w:t xml:space="preserve">to ensure that it is a collective Association determining our future and not just a select oligarchy, 65 years of framers have collectively worked on our Constitution and settled on a clause to ensure no tyranny of the minority. That clause requires seven percent (7%) of the Association membership to participate in an election in order to change the Constitution. If this Court allows the constitution to be amended by any less, let alone 2.5%, it sets a dangerous precedence that allows quick power grabs. A small group of senators and one president would be allowed to pass an amendment that drastically alters the course of the Student Government Association, and consider it adopted by an electorate that does not represent the student </w:t>
      </w:r>
      <w:r w:rsidR="00F23DF5">
        <w:rPr>
          <w:rFonts w:ascii="Franklin Gothic Book" w:hAnsi="Franklin Gothic Book"/>
          <w:sz w:val="22"/>
          <w:szCs w:val="22"/>
        </w:rPr>
        <w:t xml:space="preserve">body. </w:t>
      </w:r>
      <w:r w:rsidR="00BE5A17">
        <w:rPr>
          <w:rFonts w:ascii="Franklin Gothic Book" w:hAnsi="Franklin Gothic Book"/>
          <w:sz w:val="22"/>
          <w:szCs w:val="22"/>
        </w:rPr>
        <w:t xml:space="preserve">While it may seem drastic to compare Senate Reapportionment to tyranny and power grabs, that is the exact purpose of the Court. To test scenarios and determine if they are constitutional </w:t>
      </w:r>
      <w:r w:rsidR="0058654A">
        <w:rPr>
          <w:rFonts w:ascii="Franklin Gothic Book" w:hAnsi="Franklin Gothic Book"/>
          <w:sz w:val="22"/>
          <w:szCs w:val="22"/>
        </w:rPr>
        <w:t xml:space="preserve">in order to create doctrines and tests which future scenarios can be applied to. </w:t>
      </w:r>
    </w:p>
    <w:p w14:paraId="39A7114F" w14:textId="4663CBDA" w:rsidR="005344B9" w:rsidRPr="00021B54" w:rsidRDefault="005344B9" w:rsidP="00C07C21">
      <w:pPr>
        <w:rPr>
          <w:rFonts w:ascii="Franklin Gothic Book" w:hAnsi="Franklin Gothic Book"/>
          <w:b/>
          <w:bCs/>
          <w:sz w:val="28"/>
          <w:szCs w:val="28"/>
        </w:rPr>
      </w:pPr>
      <w:r w:rsidRPr="00021B54">
        <w:rPr>
          <w:rFonts w:ascii="Franklin Gothic Book" w:hAnsi="Franklin Gothic Book"/>
          <w:b/>
          <w:bCs/>
          <w:sz w:val="28"/>
          <w:szCs w:val="28"/>
        </w:rPr>
        <w:t>Request to the Court:</w:t>
      </w:r>
    </w:p>
    <w:p w14:paraId="130C1318" w14:textId="20117A7F" w:rsidR="005344B9" w:rsidRDefault="00B06AD0" w:rsidP="003C2640">
      <w:pPr>
        <w:rPr>
          <w:rFonts w:ascii="Franklin Gothic Book" w:hAnsi="Franklin Gothic Book"/>
          <w:sz w:val="22"/>
          <w:szCs w:val="22"/>
        </w:rPr>
      </w:pPr>
      <w:r>
        <w:rPr>
          <w:rFonts w:ascii="Franklin Gothic Book" w:hAnsi="Franklin Gothic Book"/>
          <w:sz w:val="22"/>
          <w:szCs w:val="22"/>
        </w:rPr>
        <w:t xml:space="preserve">I, </w:t>
      </w:r>
      <w:r w:rsidR="00C07C21">
        <w:rPr>
          <w:rFonts w:ascii="Franklin Gothic Book" w:hAnsi="Franklin Gothic Book"/>
          <w:sz w:val="22"/>
          <w:szCs w:val="22"/>
        </w:rPr>
        <w:t>Vishnu Avva</w:t>
      </w:r>
      <w:r>
        <w:rPr>
          <w:rFonts w:ascii="Franklin Gothic Book" w:hAnsi="Franklin Gothic Book"/>
          <w:sz w:val="22"/>
          <w:szCs w:val="22"/>
        </w:rPr>
        <w:t>, do hereby request the Court</w:t>
      </w:r>
      <w:r w:rsidR="002E4855">
        <w:rPr>
          <w:rFonts w:ascii="Franklin Gothic Book" w:hAnsi="Franklin Gothic Book"/>
          <w:sz w:val="22"/>
          <w:szCs w:val="22"/>
        </w:rPr>
        <w:t xml:space="preserve"> intervene</w:t>
      </w:r>
      <w:r w:rsidR="00E40BEC">
        <w:rPr>
          <w:rFonts w:ascii="Franklin Gothic Book" w:hAnsi="Franklin Gothic Book"/>
          <w:sz w:val="22"/>
          <w:szCs w:val="22"/>
        </w:rPr>
        <w:t xml:space="preserve"> and provide </w:t>
      </w:r>
      <w:r w:rsidR="00B46F81">
        <w:rPr>
          <w:rFonts w:ascii="Franklin Gothic Book" w:hAnsi="Franklin Gothic Book"/>
          <w:sz w:val="22"/>
          <w:szCs w:val="22"/>
        </w:rPr>
        <w:t xml:space="preserve">the following </w:t>
      </w:r>
      <w:r w:rsidR="00E40BEC">
        <w:rPr>
          <w:rFonts w:ascii="Franklin Gothic Book" w:hAnsi="Franklin Gothic Book"/>
          <w:sz w:val="22"/>
          <w:szCs w:val="22"/>
        </w:rPr>
        <w:t>relief</w:t>
      </w:r>
      <w:r w:rsidR="008A05CC">
        <w:rPr>
          <w:rFonts w:ascii="Franklin Gothic Book" w:hAnsi="Franklin Gothic Book"/>
          <w:sz w:val="22"/>
          <w:szCs w:val="22"/>
        </w:rPr>
        <w:t>:</w:t>
      </w:r>
    </w:p>
    <w:p w14:paraId="1A31BEBF" w14:textId="2B625CF3" w:rsidR="00684AE5" w:rsidRDefault="00C07C21" w:rsidP="00684AE5">
      <w:pPr>
        <w:pStyle w:val="ListParagraph"/>
        <w:numPr>
          <w:ilvl w:val="0"/>
          <w:numId w:val="8"/>
        </w:numPr>
        <w:spacing w:after="0"/>
        <w:rPr>
          <w:rFonts w:ascii="Franklin Gothic Book" w:hAnsi="Franklin Gothic Book"/>
          <w:sz w:val="22"/>
          <w:szCs w:val="22"/>
        </w:rPr>
      </w:pPr>
      <w:r>
        <w:rPr>
          <w:rFonts w:ascii="Franklin Gothic Book" w:hAnsi="Franklin Gothic Book"/>
          <w:sz w:val="22"/>
          <w:szCs w:val="22"/>
        </w:rPr>
        <w:t>Declare passage of the Senate Seat Reapportionment Act illegal due to failure to achieve the required 7% turnout; AND</w:t>
      </w:r>
    </w:p>
    <w:p w14:paraId="1C1697C7" w14:textId="66C20F7A" w:rsidR="0058654A" w:rsidRDefault="0058654A" w:rsidP="00684AE5">
      <w:pPr>
        <w:pStyle w:val="ListParagraph"/>
        <w:numPr>
          <w:ilvl w:val="0"/>
          <w:numId w:val="8"/>
        </w:numPr>
        <w:spacing w:after="0"/>
        <w:rPr>
          <w:rFonts w:ascii="Franklin Gothic Book" w:hAnsi="Franklin Gothic Book"/>
          <w:sz w:val="22"/>
          <w:szCs w:val="22"/>
        </w:rPr>
      </w:pPr>
      <w:r>
        <w:rPr>
          <w:rFonts w:ascii="Franklin Gothic Book" w:hAnsi="Franklin Gothic Book"/>
          <w:sz w:val="22"/>
          <w:szCs w:val="22"/>
        </w:rPr>
        <w:t>Declare the Elections Commission cannot adopt and enact the Senate Seat Reapportionment Act; AND</w:t>
      </w:r>
    </w:p>
    <w:p w14:paraId="373CFAD6" w14:textId="09932922" w:rsidR="00C07C21" w:rsidRDefault="00C07C21" w:rsidP="00684AE5">
      <w:pPr>
        <w:pStyle w:val="ListParagraph"/>
        <w:numPr>
          <w:ilvl w:val="0"/>
          <w:numId w:val="8"/>
        </w:numPr>
        <w:spacing w:after="0"/>
        <w:rPr>
          <w:rFonts w:ascii="Franklin Gothic Book" w:hAnsi="Franklin Gothic Book"/>
          <w:sz w:val="22"/>
          <w:szCs w:val="22"/>
        </w:rPr>
      </w:pPr>
      <w:r>
        <w:rPr>
          <w:rFonts w:ascii="Franklin Gothic Book" w:hAnsi="Franklin Gothic Book"/>
          <w:sz w:val="22"/>
          <w:szCs w:val="22"/>
        </w:rPr>
        <w:t>Clarify which body has jurisdiction over elections appeals directly relating to the constitutionality of such elections, be it the Elections Commission or Supreme Court; AND</w:t>
      </w:r>
    </w:p>
    <w:p w14:paraId="19A35535" w14:textId="41F84333" w:rsidR="00C07C21" w:rsidRPr="000D6E0E" w:rsidRDefault="00C07C21" w:rsidP="00684AE5">
      <w:pPr>
        <w:pStyle w:val="ListParagraph"/>
        <w:numPr>
          <w:ilvl w:val="0"/>
          <w:numId w:val="8"/>
        </w:numPr>
        <w:spacing w:after="0"/>
        <w:rPr>
          <w:rFonts w:ascii="Franklin Gothic Book" w:hAnsi="Franklin Gothic Book"/>
          <w:sz w:val="22"/>
          <w:szCs w:val="22"/>
        </w:rPr>
      </w:pPr>
      <w:r>
        <w:rPr>
          <w:rFonts w:ascii="Franklin Gothic Book" w:hAnsi="Franklin Gothic Book"/>
          <w:sz w:val="22"/>
          <w:szCs w:val="22"/>
        </w:rPr>
        <w:t>Request the Elections Commission place the Senate Seat Reapportionment Act on the 2024 General Election ballot.</w:t>
      </w:r>
    </w:p>
    <w:sectPr w:rsidR="00C07C21" w:rsidRPr="000D6E0E" w:rsidSect="007C085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0561" w14:textId="77777777" w:rsidR="007C0850" w:rsidRDefault="007C0850" w:rsidP="00C41D34">
      <w:pPr>
        <w:spacing w:after="0" w:line="240" w:lineRule="auto"/>
      </w:pPr>
      <w:r>
        <w:separator/>
      </w:r>
    </w:p>
  </w:endnote>
  <w:endnote w:type="continuationSeparator" w:id="0">
    <w:p w14:paraId="4D00BD45" w14:textId="77777777" w:rsidR="007C0850" w:rsidRDefault="007C0850" w:rsidP="00C4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9165" w14:textId="77777777" w:rsidR="00556DAA" w:rsidRDefault="00556DAA" w:rsidP="004D5F29">
    <w:pPr>
      <w:pStyle w:val="Footer"/>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3461F761" wp14:editId="2D5C256C">
              <wp:simplePos x="0" y="0"/>
              <wp:positionH relativeFrom="column">
                <wp:posOffset>-485775</wp:posOffset>
              </wp:positionH>
              <wp:positionV relativeFrom="paragraph">
                <wp:posOffset>76200</wp:posOffset>
              </wp:positionV>
              <wp:extent cx="62865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C32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6pt" to="45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" strokecolor="black [3213]" strokeweight="2.25pt">
              <v:stroke dashstyle="1 1"/>
            </v:line>
          </w:pict>
        </mc:Fallback>
      </mc:AlternateContent>
    </w:r>
  </w:p>
  <w:p w14:paraId="088C881E" w14:textId="77777777" w:rsidR="00C41D34" w:rsidRPr="00C01BC2" w:rsidRDefault="00C01BC2" w:rsidP="00556DAA">
    <w:pPr>
      <w:pStyle w:val="Footer"/>
      <w:jc w:val="center"/>
      <w:rPr>
        <w:rFonts w:cstheme="minorHAnsi"/>
        <w:sz w:val="18"/>
        <w:szCs w:val="18"/>
      </w:rPr>
    </w:pPr>
    <w:r w:rsidRPr="00C01BC2">
      <w:rPr>
        <w:rFonts w:cstheme="minorHAnsi"/>
        <w:sz w:val="18"/>
        <w:szCs w:val="18"/>
      </w:rPr>
      <w:t>W</w:t>
    </w:r>
    <w:r w:rsidRPr="00C01BC2">
      <w:rPr>
        <w:rFonts w:cstheme="minorHAnsi"/>
        <w:sz w:val="16"/>
        <w:szCs w:val="18"/>
      </w:rPr>
      <w:t>ICHITA</w:t>
    </w:r>
    <w:r w:rsidRPr="00C01BC2">
      <w:rPr>
        <w:rFonts w:cstheme="minorHAnsi"/>
        <w:sz w:val="18"/>
        <w:szCs w:val="18"/>
      </w:rPr>
      <w:t xml:space="preserve"> S</w:t>
    </w:r>
    <w:r w:rsidRPr="00C01BC2">
      <w:rPr>
        <w:rFonts w:cstheme="minorHAnsi"/>
        <w:sz w:val="16"/>
        <w:szCs w:val="18"/>
      </w:rPr>
      <w:t>TATE</w:t>
    </w:r>
    <w:r w:rsidRPr="00C01BC2">
      <w:rPr>
        <w:rFonts w:cstheme="minorHAnsi"/>
        <w:sz w:val="18"/>
        <w:szCs w:val="18"/>
      </w:rPr>
      <w:t xml:space="preserve"> U</w:t>
    </w:r>
    <w:r w:rsidRPr="00C01BC2">
      <w:rPr>
        <w:rFonts w:cstheme="minorHAnsi"/>
        <w:sz w:val="16"/>
        <w:szCs w:val="18"/>
      </w:rPr>
      <w:t>NIVERSITY</w:t>
    </w:r>
    <w:r w:rsidRPr="00C01BC2">
      <w:rPr>
        <w:rFonts w:cstheme="minorHAnsi"/>
        <w:sz w:val="18"/>
        <w:szCs w:val="18"/>
      </w:rPr>
      <w:t xml:space="preserve"> </w:t>
    </w:r>
    <w:r w:rsidRPr="00C01BC2">
      <w:rPr>
        <w:rFonts w:ascii="Symbol" w:eastAsia="Symbol" w:hAnsi="Symbol" w:cstheme="minorHAnsi"/>
        <w:sz w:val="18"/>
        <w:szCs w:val="18"/>
      </w:rPr>
      <w:t>½</w:t>
    </w:r>
    <w:r w:rsidR="00C41D34" w:rsidRPr="00C01BC2">
      <w:rPr>
        <w:rFonts w:cstheme="minorHAnsi"/>
        <w:i/>
        <w:sz w:val="18"/>
        <w:szCs w:val="18"/>
      </w:rPr>
      <w:t xml:space="preserve">Student </w:t>
    </w:r>
    <w:r w:rsidR="005555E7">
      <w:rPr>
        <w:rFonts w:cstheme="minorHAnsi"/>
        <w:i/>
        <w:sz w:val="18"/>
        <w:szCs w:val="18"/>
      </w:rPr>
      <w:t>Government Association</w:t>
    </w:r>
    <w:r w:rsidRPr="00C01BC2">
      <w:rPr>
        <w:rFonts w:cstheme="minorHAnsi"/>
        <w:i/>
        <w:sz w:val="18"/>
        <w:szCs w:val="18"/>
      </w:rPr>
      <w:t xml:space="preserve"> </w:t>
    </w:r>
    <w:r w:rsidRPr="00C01BC2">
      <w:rPr>
        <w:rFonts w:ascii="Symbol" w:eastAsia="Symbol" w:hAnsi="Symbol" w:cstheme="minorHAnsi"/>
        <w:sz w:val="18"/>
        <w:szCs w:val="18"/>
      </w:rPr>
      <w:t>½</w:t>
    </w:r>
    <w:r>
      <w:rPr>
        <w:rFonts w:cstheme="minorHAnsi"/>
        <w:sz w:val="18"/>
        <w:szCs w:val="18"/>
      </w:rPr>
      <w:t xml:space="preserve">1845 Fairmount Street </w:t>
    </w:r>
    <w:r w:rsidRPr="00C01BC2">
      <w:rPr>
        <w:rFonts w:ascii="Symbol" w:eastAsia="Symbol" w:hAnsi="Symbol" w:cstheme="minorHAnsi"/>
        <w:sz w:val="18"/>
        <w:szCs w:val="18"/>
      </w:rPr>
      <w:t>½</w:t>
    </w:r>
    <w:r w:rsidR="00C41D34" w:rsidRPr="00C01BC2">
      <w:rPr>
        <w:rFonts w:cstheme="minorHAnsi"/>
        <w:sz w:val="18"/>
        <w:szCs w:val="18"/>
      </w:rPr>
      <w:t>Wichita, Kansas 67260-0056</w:t>
    </w:r>
  </w:p>
  <w:p w14:paraId="124E91C3" w14:textId="77777777" w:rsidR="00C41D34" w:rsidRPr="00C01BC2" w:rsidRDefault="00C01BC2" w:rsidP="00C41D34">
    <w:pPr>
      <w:pStyle w:val="Footer"/>
      <w:jc w:val="center"/>
      <w:rPr>
        <w:rFonts w:cstheme="minorHAnsi"/>
        <w:sz w:val="18"/>
        <w:szCs w:val="18"/>
      </w:rPr>
    </w:pPr>
    <w:r>
      <w:rPr>
        <w:rFonts w:cstheme="minorHAnsi"/>
        <w:sz w:val="18"/>
        <w:szCs w:val="18"/>
      </w:rPr>
      <w:t>tele</w:t>
    </w:r>
    <w:r w:rsidR="005555E7">
      <w:rPr>
        <w:rFonts w:cstheme="minorHAnsi"/>
        <w:sz w:val="18"/>
        <w:szCs w:val="18"/>
      </w:rPr>
      <w:t>: (316) 978-3048</w:t>
    </w:r>
    <w:r w:rsidRPr="00C01BC2">
      <w:rPr>
        <w:rFonts w:cstheme="minorHAnsi"/>
        <w:sz w:val="18"/>
        <w:szCs w:val="18"/>
      </w:rPr>
      <w:t xml:space="preserve"> </w:t>
    </w:r>
    <w:r w:rsidRPr="00C01BC2">
      <w:rPr>
        <w:rFonts w:ascii="Symbol" w:eastAsia="Symbol" w:hAnsi="Symbol" w:cstheme="minorHAnsi"/>
        <w:sz w:val="18"/>
        <w:szCs w:val="18"/>
      </w:rPr>
      <w:t>½</w:t>
    </w:r>
    <w:r w:rsidRPr="00C01BC2">
      <w:rPr>
        <w:rFonts w:cstheme="minorHAnsi"/>
        <w:sz w:val="18"/>
        <w:szCs w:val="18"/>
      </w:rPr>
      <w:t xml:space="preserve"> </w:t>
    </w:r>
    <w:r w:rsidR="005555E7">
      <w:rPr>
        <w:rFonts w:cstheme="minorHAnsi"/>
        <w:sz w:val="18"/>
        <w:szCs w:val="18"/>
      </w:rPr>
      <w:t>w</w:t>
    </w:r>
    <w:r w:rsidRPr="00C01BC2">
      <w:rPr>
        <w:rFonts w:cstheme="minorHAnsi"/>
        <w:sz w:val="18"/>
        <w:szCs w:val="18"/>
      </w:rPr>
      <w:t xml:space="preserve">eb: </w:t>
    </w:r>
    <w:r w:rsidR="00C41D34" w:rsidRPr="00C01BC2">
      <w:rPr>
        <w:rFonts w:cstheme="minorHAnsi"/>
        <w:sz w:val="18"/>
        <w:szCs w:val="18"/>
      </w:rPr>
      <w:t>www.wichita.edu/</w:t>
    </w:r>
    <w:r w:rsidR="005555E7">
      <w:rPr>
        <w:rFonts w:cstheme="minorHAnsi"/>
        <w:sz w:val="18"/>
        <w:szCs w:val="18"/>
      </w:rPr>
      <w:t>sga</w:t>
    </w:r>
  </w:p>
  <w:p w14:paraId="6B3A956B" w14:textId="77777777" w:rsidR="00C41D34" w:rsidRDefault="00C41D34" w:rsidP="00C41D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67AA" w14:textId="77777777" w:rsidR="007C0850" w:rsidRDefault="007C0850" w:rsidP="00C41D34">
      <w:pPr>
        <w:spacing w:after="0" w:line="240" w:lineRule="auto"/>
      </w:pPr>
      <w:r>
        <w:separator/>
      </w:r>
    </w:p>
  </w:footnote>
  <w:footnote w:type="continuationSeparator" w:id="0">
    <w:p w14:paraId="0366A716" w14:textId="77777777" w:rsidR="007C0850" w:rsidRDefault="007C0850" w:rsidP="00C4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5F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22491194"/>
    <w:multiLevelType w:val="hybridMultilevel"/>
    <w:tmpl w:val="35C8B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C0BDD"/>
    <w:multiLevelType w:val="hybridMultilevel"/>
    <w:tmpl w:val="B332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82AB5"/>
    <w:multiLevelType w:val="hybridMultilevel"/>
    <w:tmpl w:val="D396E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B1451A"/>
    <w:multiLevelType w:val="hybridMultilevel"/>
    <w:tmpl w:val="5F84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342E0"/>
    <w:multiLevelType w:val="hybridMultilevel"/>
    <w:tmpl w:val="8A68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773C3"/>
    <w:multiLevelType w:val="hybridMultilevel"/>
    <w:tmpl w:val="D8746334"/>
    <w:lvl w:ilvl="0" w:tplc="FF70392C">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94310"/>
    <w:multiLevelType w:val="hybridMultilevel"/>
    <w:tmpl w:val="9F22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A52333"/>
    <w:multiLevelType w:val="hybridMultilevel"/>
    <w:tmpl w:val="EDEE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508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4011791">
    <w:abstractNumId w:val="3"/>
  </w:num>
  <w:num w:numId="3" w16cid:durableId="1458454598">
    <w:abstractNumId w:val="4"/>
  </w:num>
  <w:num w:numId="4" w16cid:durableId="2014990597">
    <w:abstractNumId w:val="2"/>
  </w:num>
  <w:num w:numId="5" w16cid:durableId="181039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917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996978">
    <w:abstractNumId w:val="6"/>
  </w:num>
  <w:num w:numId="8" w16cid:durableId="2074892881">
    <w:abstractNumId w:val="1"/>
  </w:num>
  <w:num w:numId="9" w16cid:durableId="1548223162">
    <w:abstractNumId w:val="5"/>
  </w:num>
  <w:num w:numId="10" w16cid:durableId="1604872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DD"/>
    <w:rsid w:val="000049F3"/>
    <w:rsid w:val="000112FD"/>
    <w:rsid w:val="000170DD"/>
    <w:rsid w:val="00017E21"/>
    <w:rsid w:val="00021B54"/>
    <w:rsid w:val="00053D36"/>
    <w:rsid w:val="00053F3E"/>
    <w:rsid w:val="00077959"/>
    <w:rsid w:val="0009480E"/>
    <w:rsid w:val="000A01D1"/>
    <w:rsid w:val="000A6ECE"/>
    <w:rsid w:val="000C3BA0"/>
    <w:rsid w:val="000C6F57"/>
    <w:rsid w:val="000D6E0E"/>
    <w:rsid w:val="001122D2"/>
    <w:rsid w:val="001229EE"/>
    <w:rsid w:val="00134D0E"/>
    <w:rsid w:val="00157025"/>
    <w:rsid w:val="001661D7"/>
    <w:rsid w:val="00203794"/>
    <w:rsid w:val="002119F0"/>
    <w:rsid w:val="00224F31"/>
    <w:rsid w:val="00226E55"/>
    <w:rsid w:val="002302FA"/>
    <w:rsid w:val="0023360B"/>
    <w:rsid w:val="00235125"/>
    <w:rsid w:val="002E4855"/>
    <w:rsid w:val="002F06A6"/>
    <w:rsid w:val="002F0DAE"/>
    <w:rsid w:val="00314E85"/>
    <w:rsid w:val="00331CCE"/>
    <w:rsid w:val="00342395"/>
    <w:rsid w:val="003434AF"/>
    <w:rsid w:val="003444B6"/>
    <w:rsid w:val="00350E3E"/>
    <w:rsid w:val="00385925"/>
    <w:rsid w:val="0039615A"/>
    <w:rsid w:val="003C2640"/>
    <w:rsid w:val="003E27CD"/>
    <w:rsid w:val="00444501"/>
    <w:rsid w:val="00475C25"/>
    <w:rsid w:val="004814F8"/>
    <w:rsid w:val="004C4060"/>
    <w:rsid w:val="004D5F29"/>
    <w:rsid w:val="0053275A"/>
    <w:rsid w:val="005344B9"/>
    <w:rsid w:val="005555E7"/>
    <w:rsid w:val="00556DAA"/>
    <w:rsid w:val="00560A04"/>
    <w:rsid w:val="0058654A"/>
    <w:rsid w:val="0059392E"/>
    <w:rsid w:val="00602A3D"/>
    <w:rsid w:val="00676770"/>
    <w:rsid w:val="00684AE5"/>
    <w:rsid w:val="007476D6"/>
    <w:rsid w:val="007B2BE4"/>
    <w:rsid w:val="007B3CC3"/>
    <w:rsid w:val="007C0850"/>
    <w:rsid w:val="007C14EA"/>
    <w:rsid w:val="007C34B7"/>
    <w:rsid w:val="007D2CBA"/>
    <w:rsid w:val="007D640F"/>
    <w:rsid w:val="007E45FE"/>
    <w:rsid w:val="008072E6"/>
    <w:rsid w:val="00816C86"/>
    <w:rsid w:val="008677C6"/>
    <w:rsid w:val="00872C14"/>
    <w:rsid w:val="008A05CC"/>
    <w:rsid w:val="008A479F"/>
    <w:rsid w:val="008E58D7"/>
    <w:rsid w:val="0094559A"/>
    <w:rsid w:val="009876F4"/>
    <w:rsid w:val="009C3294"/>
    <w:rsid w:val="009D17F0"/>
    <w:rsid w:val="00A01C15"/>
    <w:rsid w:val="00A14946"/>
    <w:rsid w:val="00A6603B"/>
    <w:rsid w:val="00A66DD5"/>
    <w:rsid w:val="00A812FA"/>
    <w:rsid w:val="00A92394"/>
    <w:rsid w:val="00AB4B93"/>
    <w:rsid w:val="00AD118E"/>
    <w:rsid w:val="00AD7246"/>
    <w:rsid w:val="00AF74DC"/>
    <w:rsid w:val="00AF79A7"/>
    <w:rsid w:val="00B06AD0"/>
    <w:rsid w:val="00B072E5"/>
    <w:rsid w:val="00B160DD"/>
    <w:rsid w:val="00B21865"/>
    <w:rsid w:val="00B22347"/>
    <w:rsid w:val="00B26BBA"/>
    <w:rsid w:val="00B334CF"/>
    <w:rsid w:val="00B446F4"/>
    <w:rsid w:val="00B46F81"/>
    <w:rsid w:val="00B6228B"/>
    <w:rsid w:val="00BE5A17"/>
    <w:rsid w:val="00C01BC2"/>
    <w:rsid w:val="00C07C21"/>
    <w:rsid w:val="00C136CE"/>
    <w:rsid w:val="00C35C1B"/>
    <w:rsid w:val="00C41D34"/>
    <w:rsid w:val="00C531BB"/>
    <w:rsid w:val="00C714FA"/>
    <w:rsid w:val="00C7518B"/>
    <w:rsid w:val="00C760AF"/>
    <w:rsid w:val="00C828C5"/>
    <w:rsid w:val="00C929C8"/>
    <w:rsid w:val="00CA0489"/>
    <w:rsid w:val="00CF3CF5"/>
    <w:rsid w:val="00D25E51"/>
    <w:rsid w:val="00D367C1"/>
    <w:rsid w:val="00D5151F"/>
    <w:rsid w:val="00D77CC8"/>
    <w:rsid w:val="00D80AC4"/>
    <w:rsid w:val="00D850AB"/>
    <w:rsid w:val="00D904DD"/>
    <w:rsid w:val="00DA52B0"/>
    <w:rsid w:val="00DB4BDE"/>
    <w:rsid w:val="00DD20CB"/>
    <w:rsid w:val="00E044AD"/>
    <w:rsid w:val="00E1398E"/>
    <w:rsid w:val="00E31C7E"/>
    <w:rsid w:val="00E40BC2"/>
    <w:rsid w:val="00E40BEC"/>
    <w:rsid w:val="00E7302A"/>
    <w:rsid w:val="00EB55A8"/>
    <w:rsid w:val="00ED2B6E"/>
    <w:rsid w:val="00ED54A1"/>
    <w:rsid w:val="00F16FFA"/>
    <w:rsid w:val="00F20891"/>
    <w:rsid w:val="00F21E25"/>
    <w:rsid w:val="00F23DF5"/>
    <w:rsid w:val="00F677E8"/>
    <w:rsid w:val="00F7204B"/>
    <w:rsid w:val="00F824D5"/>
    <w:rsid w:val="00FB4049"/>
    <w:rsid w:val="00FC5BF9"/>
    <w:rsid w:val="00FF31BD"/>
    <w:rsid w:val="1327E14F"/>
    <w:rsid w:val="17991C23"/>
    <w:rsid w:val="1BE136A3"/>
    <w:rsid w:val="24520C51"/>
    <w:rsid w:val="2CD70FCE"/>
    <w:rsid w:val="3E0A4207"/>
    <w:rsid w:val="43EA9E7A"/>
    <w:rsid w:val="55D01A22"/>
    <w:rsid w:val="5D22C65A"/>
    <w:rsid w:val="6237BBE3"/>
    <w:rsid w:val="667428A8"/>
    <w:rsid w:val="70A6D2F5"/>
    <w:rsid w:val="7E55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77DE"/>
  <w15:docId w15:val="{5E1C50BD-5969-4D2B-A205-BCF0ECB2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D"/>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34"/>
    <w:rPr>
      <w:rFonts w:ascii="Tahoma" w:hAnsi="Tahoma" w:cs="Tahoma"/>
      <w:sz w:val="16"/>
      <w:szCs w:val="16"/>
    </w:rPr>
  </w:style>
  <w:style w:type="paragraph" w:styleId="Header">
    <w:name w:val="header"/>
    <w:basedOn w:val="Normal"/>
    <w:link w:val="HeaderChar"/>
    <w:uiPriority w:val="99"/>
    <w:unhideWhenUsed/>
    <w:rsid w:val="00C4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34"/>
  </w:style>
  <w:style w:type="paragraph" w:styleId="Footer">
    <w:name w:val="footer"/>
    <w:basedOn w:val="Normal"/>
    <w:link w:val="FooterChar"/>
    <w:unhideWhenUsed/>
    <w:rsid w:val="00C4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34"/>
  </w:style>
  <w:style w:type="character" w:styleId="Hyperlink">
    <w:name w:val="Hyperlink"/>
    <w:uiPriority w:val="99"/>
    <w:rsid w:val="00C41D34"/>
    <w:rPr>
      <w:color w:val="0000FF"/>
      <w:u w:val="single"/>
    </w:rPr>
  </w:style>
  <w:style w:type="paragraph" w:styleId="PlainText">
    <w:name w:val="Plain Text"/>
    <w:basedOn w:val="Normal"/>
    <w:link w:val="PlainTextChar"/>
    <w:uiPriority w:val="99"/>
    <w:unhideWhenUsed/>
    <w:rsid w:val="00C41D3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C41D34"/>
    <w:rPr>
      <w:rFonts w:ascii="Calibri" w:eastAsia="Calibri" w:hAnsi="Calibri" w:cs="Consolas"/>
      <w:szCs w:val="21"/>
    </w:rPr>
  </w:style>
  <w:style w:type="paragraph" w:styleId="ListParagraph">
    <w:name w:val="List Paragraph"/>
    <w:basedOn w:val="Normal"/>
    <w:uiPriority w:val="34"/>
    <w:qFormat/>
    <w:rsid w:val="00D904DD"/>
    <w:pPr>
      <w:ind w:left="720"/>
      <w:contextualSpacing/>
    </w:pPr>
  </w:style>
  <w:style w:type="paragraph" w:customStyle="1" w:styleId="Default">
    <w:name w:val="Default"/>
    <w:rsid w:val="005555E7"/>
    <w:pPr>
      <w:autoSpaceDE w:val="0"/>
      <w:autoSpaceDN w:val="0"/>
      <w:adjustRightInd w:val="0"/>
      <w:spacing w:after="0" w:line="240" w:lineRule="auto"/>
    </w:pPr>
    <w:rPr>
      <w:rFonts w:ascii="Garamond" w:eastAsiaTheme="minorEastAsia" w:hAnsi="Garamond" w:cs="Garamond"/>
      <w:color w:val="000000"/>
      <w:sz w:val="24"/>
      <w:szCs w:val="24"/>
    </w:rPr>
  </w:style>
  <w:style w:type="character" w:styleId="UnresolvedMention">
    <w:name w:val="Unresolved Mention"/>
    <w:basedOn w:val="DefaultParagraphFont"/>
    <w:uiPriority w:val="99"/>
    <w:semiHidden/>
    <w:unhideWhenUsed/>
    <w:rsid w:val="007476D6"/>
    <w:rPr>
      <w:color w:val="605E5C"/>
      <w:shd w:val="clear" w:color="auto" w:fill="E1DFDD"/>
    </w:rPr>
  </w:style>
  <w:style w:type="character" w:styleId="FollowedHyperlink">
    <w:name w:val="FollowedHyperlink"/>
    <w:basedOn w:val="DefaultParagraphFont"/>
    <w:uiPriority w:val="99"/>
    <w:semiHidden/>
    <w:unhideWhenUsed/>
    <w:rsid w:val="00747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2267">
      <w:bodyDiv w:val="1"/>
      <w:marLeft w:val="0"/>
      <w:marRight w:val="0"/>
      <w:marTop w:val="0"/>
      <w:marBottom w:val="0"/>
      <w:divBdr>
        <w:top w:val="none" w:sz="0" w:space="0" w:color="auto"/>
        <w:left w:val="none" w:sz="0" w:space="0" w:color="auto"/>
        <w:bottom w:val="none" w:sz="0" w:space="0" w:color="auto"/>
        <w:right w:val="none" w:sz="0" w:space="0" w:color="auto"/>
      </w:divBdr>
    </w:div>
    <w:div w:id="322971840">
      <w:bodyDiv w:val="1"/>
      <w:marLeft w:val="0"/>
      <w:marRight w:val="0"/>
      <w:marTop w:val="0"/>
      <w:marBottom w:val="0"/>
      <w:divBdr>
        <w:top w:val="none" w:sz="0" w:space="0" w:color="auto"/>
        <w:left w:val="none" w:sz="0" w:space="0" w:color="auto"/>
        <w:bottom w:val="none" w:sz="0" w:space="0" w:color="auto"/>
        <w:right w:val="none" w:sz="0" w:space="0" w:color="auto"/>
      </w:divBdr>
    </w:div>
    <w:div w:id="364528477">
      <w:bodyDiv w:val="1"/>
      <w:marLeft w:val="0"/>
      <w:marRight w:val="0"/>
      <w:marTop w:val="0"/>
      <w:marBottom w:val="0"/>
      <w:divBdr>
        <w:top w:val="none" w:sz="0" w:space="0" w:color="auto"/>
        <w:left w:val="none" w:sz="0" w:space="0" w:color="auto"/>
        <w:bottom w:val="none" w:sz="0" w:space="0" w:color="auto"/>
        <w:right w:val="none" w:sz="0" w:space="0" w:color="auto"/>
      </w:divBdr>
    </w:div>
    <w:div w:id="528760289">
      <w:bodyDiv w:val="1"/>
      <w:marLeft w:val="0"/>
      <w:marRight w:val="0"/>
      <w:marTop w:val="0"/>
      <w:marBottom w:val="0"/>
      <w:divBdr>
        <w:top w:val="none" w:sz="0" w:space="0" w:color="auto"/>
        <w:left w:val="none" w:sz="0" w:space="0" w:color="auto"/>
        <w:bottom w:val="none" w:sz="0" w:space="0" w:color="auto"/>
        <w:right w:val="none" w:sz="0" w:space="0" w:color="auto"/>
      </w:divBdr>
    </w:div>
    <w:div w:id="1219826201">
      <w:bodyDiv w:val="1"/>
      <w:marLeft w:val="0"/>
      <w:marRight w:val="0"/>
      <w:marTop w:val="0"/>
      <w:marBottom w:val="0"/>
      <w:divBdr>
        <w:top w:val="none" w:sz="0" w:space="0" w:color="auto"/>
        <w:left w:val="none" w:sz="0" w:space="0" w:color="auto"/>
        <w:bottom w:val="none" w:sz="0" w:space="0" w:color="auto"/>
        <w:right w:val="none" w:sz="0" w:space="0" w:color="auto"/>
      </w:divBdr>
    </w:div>
    <w:div w:id="18438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78b2ce-fd31-49c2-8d90-0193663e0ff0">
      <Terms xmlns="http://schemas.microsoft.com/office/infopath/2007/PartnerControls"/>
    </lcf76f155ced4ddcb4097134ff3c332f>
    <TaxCatchAll xmlns="65e25c63-47e6-4e77-b5ad-d8fbcb7cb1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12E59BC0DA04D90321295C852F5DD" ma:contentTypeVersion="14" ma:contentTypeDescription="Create a new document." ma:contentTypeScope="" ma:versionID="3b68ecd163b6cbbb8954e4c1d9ccfc45">
  <xsd:schema xmlns:xsd="http://www.w3.org/2001/XMLSchema" xmlns:xs="http://www.w3.org/2001/XMLSchema" xmlns:p="http://schemas.microsoft.com/office/2006/metadata/properties" xmlns:ns2="5178b2ce-fd31-49c2-8d90-0193663e0ff0" xmlns:ns3="65e25c63-47e6-4e77-b5ad-d8fbcb7cb1bc" targetNamespace="http://schemas.microsoft.com/office/2006/metadata/properties" ma:root="true" ma:fieldsID="2918d532ee559f3aa6c0f03292cb0a8b" ns2:_="" ns3:_="">
    <xsd:import namespace="5178b2ce-fd31-49c2-8d90-0193663e0ff0"/>
    <xsd:import namespace="65e25c63-47e6-4e77-b5ad-d8fbcb7cb1b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8b2ce-fd31-49c2-8d90-0193663e0ff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25c63-47e6-4e77-b5ad-d8fbcb7cb1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32e4a-d886-4971-863c-b551d53a0265}" ma:internalName="TaxCatchAll" ma:showField="CatchAllData" ma:web="65e25c63-47e6-4e77-b5ad-d8fbcb7cb1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3357-4C51-4B5C-894E-F3AF399B9098}">
  <ds:schemaRefs>
    <ds:schemaRef ds:uri="http://schemas.microsoft.com/office/2006/metadata/properties"/>
    <ds:schemaRef ds:uri="http://schemas.microsoft.com/office/infopath/2007/PartnerControls"/>
    <ds:schemaRef ds:uri="5178b2ce-fd31-49c2-8d90-0193663e0ff0"/>
    <ds:schemaRef ds:uri="65e25c63-47e6-4e77-b5ad-d8fbcb7cb1bc"/>
  </ds:schemaRefs>
</ds:datastoreItem>
</file>

<file path=customXml/itemProps2.xml><?xml version="1.0" encoding="utf-8"?>
<ds:datastoreItem xmlns:ds="http://schemas.openxmlformats.org/officeDocument/2006/customXml" ds:itemID="{3A462354-1499-44EE-B928-AB6CC06325F5}">
  <ds:schemaRefs>
    <ds:schemaRef ds:uri="http://schemas.microsoft.com/sharepoint/v3/contenttype/forms"/>
  </ds:schemaRefs>
</ds:datastoreItem>
</file>

<file path=customXml/itemProps3.xml><?xml version="1.0" encoding="utf-8"?>
<ds:datastoreItem xmlns:ds="http://schemas.openxmlformats.org/officeDocument/2006/customXml" ds:itemID="{6F56E2CC-BE66-44A6-8E5D-ACBCE7E1C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8b2ce-fd31-49c2-8d90-0193663e0ff0"/>
    <ds:schemaRef ds:uri="65e25c63-47e6-4e77-b5ad-d8fbcb7c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Hill</dc:creator>
  <cp:lastModifiedBy>Vishnu Avva</cp:lastModifiedBy>
  <cp:revision>3</cp:revision>
  <cp:lastPrinted>2021-02-18T15:38:00Z</cp:lastPrinted>
  <dcterms:created xsi:type="dcterms:W3CDTF">2024-01-25T18:50:00Z</dcterms:created>
  <dcterms:modified xsi:type="dcterms:W3CDTF">2024-01-25T22:20:00Z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0x010100B9E12E59BC0DA04D90321295C852F5DD</vt:lpwstr>
  </property>
  <property fmtid="{D5CDD505-2E9C-101B-9397-08002B2CF9AE}" pid="3" name="MediaServiceImageTags">
    <vt:lpwstr/>
  </property>
</Properties>
</file>