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AF" w:rsidRPr="00915B66" w:rsidRDefault="00DB7AAF" w:rsidP="00DB7AAF">
      <w:r w:rsidRPr="00915B66">
        <w:t>BE IT ENACTED by the Student Senate that:</w:t>
      </w:r>
    </w:p>
    <w:p w:rsidR="00DB7AAF" w:rsidRPr="00915B66" w:rsidRDefault="00FF1D4C" w:rsidP="00DB7AAF">
      <w:pPr>
        <w:pStyle w:val="ListParagraph"/>
        <w:numPr>
          <w:ilvl w:val="0"/>
          <w:numId w:val="1"/>
        </w:numPr>
        <w:contextualSpacing w:val="0"/>
        <w:rPr>
          <w:b/>
        </w:rPr>
      </w:pPr>
      <w:r>
        <w:rPr>
          <w:b/>
        </w:rPr>
        <w:t>Amend Bylaws Article II, Section 1 to strike:</w:t>
      </w:r>
    </w:p>
    <w:p w:rsidR="00DB7AAF" w:rsidRPr="00FF1D4C" w:rsidRDefault="00FF1D4C" w:rsidP="00FF1D4C">
      <w:pPr>
        <w:ind w:left="1440" w:hanging="720"/>
        <w:rPr>
          <w:strike/>
        </w:rPr>
      </w:pPr>
      <w:r w:rsidRPr="00FF1D4C">
        <w:rPr>
          <w:strike/>
        </w:rPr>
        <w:t>1.3.4</w:t>
      </w:r>
      <w:r w:rsidRPr="00FF1D4C">
        <w:rPr>
          <w:strike/>
        </w:rPr>
        <w:tab/>
        <w:t>To act as Chief Election Commissioner unless they resign or are removed from this duty according to the regulations outlined in S061;</w:t>
      </w:r>
    </w:p>
    <w:p w:rsidR="00DB7AAF" w:rsidRPr="00915B66" w:rsidRDefault="00FF1D4C" w:rsidP="00DB7AAF">
      <w:pPr>
        <w:pStyle w:val="ListParagraph"/>
        <w:numPr>
          <w:ilvl w:val="0"/>
          <w:numId w:val="1"/>
        </w:numPr>
        <w:rPr>
          <w:b/>
        </w:rPr>
      </w:pPr>
      <w:r>
        <w:rPr>
          <w:b/>
        </w:rPr>
        <w:t>Amend Bylaws Article II, Section 1 to follow:</w:t>
      </w:r>
    </w:p>
    <w:p w:rsidR="00DB7AAF" w:rsidRPr="00915B66" w:rsidRDefault="00FF1D4C" w:rsidP="00DB7AAF">
      <w:r w:rsidRPr="00FF1D4C">
        <w:t>All subseque</w:t>
      </w:r>
      <w:r>
        <w:t>nt existing clauses of Section 1</w:t>
      </w:r>
      <w:r w:rsidRPr="00FF1D4C">
        <w:t xml:space="preserve"> shall be numbered following the i</w:t>
      </w:r>
      <w:r>
        <w:t>mplemented numbering of action 1</w:t>
      </w:r>
      <w:r w:rsidRPr="00FF1D4C">
        <w:t xml:space="preserve"> of this Bill.</w:t>
      </w:r>
    </w:p>
    <w:p w:rsidR="00DB7AAF" w:rsidRPr="00915B66" w:rsidRDefault="00FF1D4C" w:rsidP="00DB7AAF">
      <w:pPr>
        <w:pStyle w:val="ListParagraph"/>
        <w:numPr>
          <w:ilvl w:val="0"/>
          <w:numId w:val="1"/>
        </w:numPr>
        <w:rPr>
          <w:b/>
        </w:rPr>
      </w:pPr>
      <w:r>
        <w:rPr>
          <w:b/>
        </w:rPr>
        <w:t>Amend Bylaws Article II, Section 2 to strike:</w:t>
      </w:r>
    </w:p>
    <w:p w:rsidR="00DB7AAF" w:rsidRPr="00FF1D4C" w:rsidRDefault="00FF1D4C" w:rsidP="00FF1D4C">
      <w:pPr>
        <w:ind w:left="1440" w:hanging="720"/>
        <w:rPr>
          <w:strike/>
        </w:rPr>
      </w:pPr>
      <w:r w:rsidRPr="00FF1D4C">
        <w:rPr>
          <w:strike/>
        </w:rPr>
        <w:t>2.1.2</w:t>
      </w:r>
      <w:r w:rsidRPr="00FF1D4C">
        <w:rPr>
          <w:strike/>
        </w:rPr>
        <w:tab/>
        <w:t>If the Vice President resigns from serving as Chief Election Commissioner, or is removed according to the regulations outlined in S061, the Chief Election Commissioner serving in the Vice President’s place shall also become a member of the Cabinet for the duration of the Commissioner’s original term.</w:t>
      </w:r>
    </w:p>
    <w:p w:rsidR="00DB7AAF" w:rsidRPr="00FF1D4C" w:rsidRDefault="00FF1D4C" w:rsidP="00FF1D4C">
      <w:pPr>
        <w:pStyle w:val="ListParagraph"/>
        <w:numPr>
          <w:ilvl w:val="0"/>
          <w:numId w:val="1"/>
        </w:numPr>
        <w:contextualSpacing w:val="0"/>
        <w:rPr>
          <w:b/>
        </w:rPr>
      </w:pPr>
      <w:r>
        <w:rPr>
          <w:b/>
        </w:rPr>
        <w:t>Amend Bylaws Article II, Section 2 to strike:</w:t>
      </w:r>
    </w:p>
    <w:p w:rsidR="00FF1D4C" w:rsidRPr="00FF1D4C" w:rsidRDefault="00FF1D4C" w:rsidP="00FF1D4C">
      <w:pPr>
        <w:rPr>
          <w:strike/>
        </w:rPr>
      </w:pPr>
      <w:r w:rsidRPr="00FF1D4C">
        <w:rPr>
          <w:strike/>
        </w:rPr>
        <w:t>2.5</w:t>
      </w:r>
      <w:r w:rsidRPr="00FF1D4C">
        <w:rPr>
          <w:strike/>
        </w:rPr>
        <w:tab/>
        <w:t>The Chief Election Commissioner</w:t>
      </w:r>
    </w:p>
    <w:p w:rsidR="00FF1D4C" w:rsidRPr="00FF1D4C" w:rsidRDefault="00FF1D4C" w:rsidP="00FF1D4C">
      <w:pPr>
        <w:ind w:left="1440" w:hanging="720"/>
        <w:rPr>
          <w:strike/>
        </w:rPr>
      </w:pPr>
      <w:r w:rsidRPr="00FF1D4C">
        <w:rPr>
          <w:strike/>
        </w:rPr>
        <w:t>2.5.1</w:t>
      </w:r>
      <w:r w:rsidRPr="00FF1D4C">
        <w:rPr>
          <w:strike/>
        </w:rPr>
        <w:tab/>
        <w:t>Should the Vice President resign or be removed according to the regulations outlined in S061 from the duty of serving as the Chief Election Commissioner, the Chief Election Commissioner shall be appointed according to the procedure outlined in S034.</w:t>
      </w:r>
    </w:p>
    <w:p w:rsidR="00FF1D4C" w:rsidRPr="00FF1D4C" w:rsidRDefault="00FF1D4C" w:rsidP="00FF1D4C">
      <w:pPr>
        <w:ind w:left="1440" w:hanging="720"/>
        <w:rPr>
          <w:strike/>
        </w:rPr>
      </w:pPr>
      <w:r w:rsidRPr="00FF1D4C">
        <w:rPr>
          <w:strike/>
        </w:rPr>
        <w:t>2.5.2</w:t>
      </w:r>
      <w:r w:rsidRPr="00FF1D4C">
        <w:rPr>
          <w:strike/>
        </w:rPr>
        <w:tab/>
        <w:t>The Chief Election Commissioner shall serve a term no longer than one year ending at the last regularly scheduled Senate meeting of the spring semester.</w:t>
      </w:r>
    </w:p>
    <w:p w:rsidR="00FF1D4C" w:rsidRPr="00FF1D4C" w:rsidRDefault="00FF1D4C" w:rsidP="00FF1D4C">
      <w:pPr>
        <w:ind w:left="1440" w:hanging="720"/>
        <w:rPr>
          <w:strike/>
        </w:rPr>
      </w:pPr>
      <w:r w:rsidRPr="00FF1D4C">
        <w:rPr>
          <w:strike/>
        </w:rPr>
        <w:t>2.5.3</w:t>
      </w:r>
      <w:r w:rsidRPr="00FF1D4C">
        <w:rPr>
          <w:strike/>
        </w:rPr>
        <w:tab/>
        <w:t>The Chief Election Commissioner shall be responsible to fulfill the following duties:</w:t>
      </w:r>
    </w:p>
    <w:p w:rsidR="00FF1D4C" w:rsidRPr="00FF1D4C" w:rsidRDefault="00FF1D4C" w:rsidP="00FF1D4C">
      <w:pPr>
        <w:ind w:left="2160" w:hanging="720"/>
        <w:rPr>
          <w:strike/>
        </w:rPr>
      </w:pPr>
      <w:r w:rsidRPr="00FF1D4C">
        <w:rPr>
          <w:strike/>
        </w:rPr>
        <w:lastRenderedPageBreak/>
        <w:t>2.5.3.1</w:t>
      </w:r>
      <w:r w:rsidRPr="00FF1D4C">
        <w:rPr>
          <w:strike/>
        </w:rPr>
        <w:tab/>
        <w:t>To administer any election according to the procedure outlined in S003 in a manner that is fair and equitable to all candidates and political parties competing in the election;</w:t>
      </w:r>
    </w:p>
    <w:p w:rsidR="00FF1D4C" w:rsidRPr="00FF1D4C" w:rsidRDefault="00FF1D4C" w:rsidP="00FF1D4C">
      <w:pPr>
        <w:ind w:left="2160" w:hanging="720"/>
        <w:rPr>
          <w:strike/>
        </w:rPr>
      </w:pPr>
      <w:r w:rsidRPr="00FF1D4C">
        <w:rPr>
          <w:strike/>
        </w:rPr>
        <w:t>2.5.3.2</w:t>
      </w:r>
      <w:r w:rsidRPr="00FF1D4C">
        <w:rPr>
          <w:strike/>
        </w:rPr>
        <w:tab/>
        <w:t>To submit a written report on each election containing the complete details of all decisions and actions of the Election Commission, election results, and any financial information;</w:t>
      </w:r>
    </w:p>
    <w:p w:rsidR="00FF1D4C" w:rsidRPr="00FF1D4C" w:rsidRDefault="00FF1D4C" w:rsidP="00FF1D4C">
      <w:pPr>
        <w:ind w:left="2160" w:hanging="720"/>
        <w:rPr>
          <w:strike/>
        </w:rPr>
      </w:pPr>
      <w:r w:rsidRPr="00FF1D4C">
        <w:rPr>
          <w:strike/>
        </w:rPr>
        <w:t>2.5.3.3</w:t>
      </w:r>
      <w:r w:rsidRPr="00FF1D4C">
        <w:rPr>
          <w:strike/>
        </w:rPr>
        <w:tab/>
        <w:t>To make available to members of the Association, including any candidates, for two weeks after the election a means for submitting suggestions or complaints regarding the election;</w:t>
      </w:r>
    </w:p>
    <w:p w:rsidR="00FF1D4C" w:rsidRPr="00FF1D4C" w:rsidRDefault="00FF1D4C" w:rsidP="00FF1D4C">
      <w:pPr>
        <w:ind w:left="720" w:firstLine="720"/>
        <w:rPr>
          <w:strike/>
        </w:rPr>
      </w:pPr>
      <w:r w:rsidRPr="00FF1D4C">
        <w:rPr>
          <w:strike/>
        </w:rPr>
        <w:t>2.5.3.4</w:t>
      </w:r>
      <w:r w:rsidRPr="00FF1D4C">
        <w:rPr>
          <w:strike/>
        </w:rPr>
        <w:tab/>
        <w:t>To execute all decisions of the Election Commission;</w:t>
      </w:r>
    </w:p>
    <w:p w:rsidR="00FF1D4C" w:rsidRPr="00FF1D4C" w:rsidRDefault="00FF1D4C" w:rsidP="00FF1D4C">
      <w:pPr>
        <w:ind w:left="2160" w:hanging="720"/>
        <w:rPr>
          <w:strike/>
        </w:rPr>
      </w:pPr>
      <w:r w:rsidRPr="00FF1D4C">
        <w:rPr>
          <w:strike/>
        </w:rPr>
        <w:t>2.5.3.5</w:t>
      </w:r>
      <w:r w:rsidRPr="00FF1D4C">
        <w:rPr>
          <w:strike/>
        </w:rPr>
        <w:tab/>
        <w:t>To maintain a written record of all decisions of the Election Commission and submit a copy to the Senate and to the Vice President of Student Affairs;</w:t>
      </w:r>
    </w:p>
    <w:p w:rsidR="00FF1D4C" w:rsidRPr="00FF1D4C" w:rsidRDefault="00FF1D4C" w:rsidP="00FF1D4C">
      <w:pPr>
        <w:ind w:left="2160" w:hanging="720"/>
        <w:rPr>
          <w:strike/>
        </w:rPr>
      </w:pPr>
      <w:r w:rsidRPr="00FF1D4C">
        <w:rPr>
          <w:strike/>
        </w:rPr>
        <w:t>2.5.3.6</w:t>
      </w:r>
      <w:r w:rsidRPr="00FF1D4C">
        <w:rPr>
          <w:strike/>
        </w:rPr>
        <w:tab/>
        <w:t>To coordinate a debate between candidates for office held on campus.</w:t>
      </w:r>
    </w:p>
    <w:p w:rsidR="00DB7AAF" w:rsidRPr="00FF1D4C" w:rsidRDefault="00FF1D4C" w:rsidP="00FF1D4C">
      <w:pPr>
        <w:ind w:left="1440" w:hanging="720"/>
        <w:rPr>
          <w:strike/>
        </w:rPr>
      </w:pPr>
      <w:r w:rsidRPr="00FF1D4C">
        <w:rPr>
          <w:strike/>
        </w:rPr>
        <w:t>2.5.4</w:t>
      </w:r>
      <w:r w:rsidRPr="00FF1D4C">
        <w:rPr>
          <w:strike/>
        </w:rPr>
        <w:tab/>
        <w:t>The Chief Election Commissioner may be removed for failure to maintain eligibility for office, to maintain strict neutrality with regard to the outcome of any election, or to fulfill any of these duties according to the procedure outlined in S061.</w:t>
      </w:r>
    </w:p>
    <w:p w:rsidR="00DB7AAF" w:rsidRPr="00915B66" w:rsidRDefault="00BC133F" w:rsidP="00DB7AAF">
      <w:pPr>
        <w:pStyle w:val="ListParagraph"/>
        <w:numPr>
          <w:ilvl w:val="0"/>
          <w:numId w:val="1"/>
        </w:numPr>
        <w:rPr>
          <w:b/>
        </w:rPr>
      </w:pPr>
      <w:r>
        <w:rPr>
          <w:b/>
        </w:rPr>
        <w:t>Amend Bylaws Article II, Section 4 to add:</w:t>
      </w:r>
    </w:p>
    <w:p w:rsidR="00BC133F" w:rsidRDefault="00BC133F" w:rsidP="00BC133F">
      <w:pPr>
        <w:ind w:left="3600" w:hanging="1440"/>
      </w:pPr>
      <w:r>
        <w:t>4.1.1.1.1</w:t>
      </w:r>
      <w:r w:rsidR="003C663D">
        <w:tab/>
      </w:r>
      <w:r>
        <w:t>The Chief Election Commissioner shall be responsible to fulfill the following duties:</w:t>
      </w:r>
    </w:p>
    <w:p w:rsidR="00BC133F" w:rsidRDefault="00BC133F" w:rsidP="003C663D">
      <w:pPr>
        <w:ind w:left="5040" w:hanging="1440"/>
      </w:pPr>
      <w:r>
        <w:t>4.1.1.1.1.1</w:t>
      </w:r>
      <w:r>
        <w:tab/>
        <w:t>To administer any election according to the procedure outlined in S003 in a manner that is fair and equitable to all candidates and political parties competing in the election;</w:t>
      </w:r>
    </w:p>
    <w:p w:rsidR="00BC133F" w:rsidRDefault="00BC133F" w:rsidP="003C663D">
      <w:pPr>
        <w:ind w:left="5040" w:hanging="1440"/>
      </w:pPr>
      <w:r>
        <w:t>4.1.1.1.1.2</w:t>
      </w:r>
      <w:r>
        <w:tab/>
        <w:t>To submit a written report on each election containing the complete details of all decisions and actions of the Election Commission, election results, and any financial information;</w:t>
      </w:r>
    </w:p>
    <w:p w:rsidR="00BC133F" w:rsidRDefault="00BC133F" w:rsidP="003C663D">
      <w:pPr>
        <w:ind w:left="5040" w:hanging="1440"/>
      </w:pPr>
      <w:r>
        <w:lastRenderedPageBreak/>
        <w:t>4.1.1.1.1.3</w:t>
      </w:r>
      <w:r>
        <w:tab/>
        <w:t>To make available to members of the Association, including any candidates, for two weeks after the election a means for submitting suggestions or complaints regarding the election;</w:t>
      </w:r>
    </w:p>
    <w:p w:rsidR="00BC133F" w:rsidRDefault="00BC133F" w:rsidP="003C663D">
      <w:pPr>
        <w:ind w:left="5040" w:hanging="1440"/>
      </w:pPr>
      <w:r>
        <w:t>4.1.1.1.1.4</w:t>
      </w:r>
      <w:r>
        <w:tab/>
        <w:t>To execute all decisions of the Election Commission;</w:t>
      </w:r>
    </w:p>
    <w:p w:rsidR="00BC133F" w:rsidRDefault="00BC133F" w:rsidP="003C663D">
      <w:pPr>
        <w:ind w:left="5040" w:hanging="1440"/>
      </w:pPr>
      <w:r>
        <w:t>4.1.1.1.1.5</w:t>
      </w:r>
      <w:r>
        <w:tab/>
        <w:t>To maintain a written record of all decisions of the Election Commission and submit a copy to the Senate and to the Vice President of Student Affairs;</w:t>
      </w:r>
    </w:p>
    <w:p w:rsidR="00BC133F" w:rsidRDefault="003C663D" w:rsidP="003C663D">
      <w:pPr>
        <w:ind w:left="5040" w:hanging="1440"/>
      </w:pPr>
      <w:r>
        <w:t>4.1.1.1.1.6</w:t>
      </w:r>
      <w:r w:rsidR="00BC133F">
        <w:tab/>
        <w:t>To coordinate a debate between candidates for office held on campus.</w:t>
      </w:r>
    </w:p>
    <w:p w:rsidR="00DB7AAF" w:rsidRPr="00915B66" w:rsidRDefault="003C663D" w:rsidP="003C663D">
      <w:pPr>
        <w:ind w:left="3600" w:hanging="1440"/>
      </w:pPr>
      <w:r>
        <w:t>4.1.1.1.2</w:t>
      </w:r>
      <w:r w:rsidR="00BC133F">
        <w:tab/>
        <w:t>The Chief Election Commissioner may be removed for failure to maintain eligibility for office, to maintain strict neutrality with regard to the outcome of any election, or to fulfill any of these duties according to the procedure outlined in S061.</w:t>
      </w:r>
    </w:p>
    <w:p w:rsidR="00DB7AAF" w:rsidRPr="00915B66" w:rsidRDefault="003C663D" w:rsidP="00DB7AAF">
      <w:pPr>
        <w:pStyle w:val="ListParagraph"/>
        <w:numPr>
          <w:ilvl w:val="0"/>
          <w:numId w:val="1"/>
        </w:numPr>
        <w:rPr>
          <w:b/>
        </w:rPr>
      </w:pPr>
      <w:r>
        <w:rPr>
          <w:b/>
        </w:rPr>
        <w:t>Amend Bylaws Article II, Section 4 to state:</w:t>
      </w:r>
    </w:p>
    <w:p w:rsidR="003C663D" w:rsidRDefault="003C663D" w:rsidP="003C663D">
      <w:pPr>
        <w:ind w:left="2160" w:hanging="1080"/>
      </w:pPr>
      <w:r>
        <w:t>4.1.1.2</w:t>
      </w:r>
      <w:r>
        <w:tab/>
        <w:t>Six Election Commissioners, who are students not serving in any elected or appointed position within the Association, appointed according to the procedure outlined in S034;</w:t>
      </w:r>
    </w:p>
    <w:p w:rsidR="00DB7AAF" w:rsidRDefault="003C663D" w:rsidP="003C663D">
      <w:pPr>
        <w:ind w:left="3600" w:hanging="1440"/>
      </w:pPr>
      <w:r>
        <w:t>4.1.1.2.1</w:t>
      </w:r>
      <w:r>
        <w:tab/>
        <w:t>The Chief Election Commissioner shall be selected from the six commissioners by two-thirds majority vote.</w:t>
      </w:r>
    </w:p>
    <w:p w:rsidR="002A554E" w:rsidRPr="00915B66" w:rsidRDefault="002A554E" w:rsidP="002A554E">
      <w:pPr>
        <w:ind w:left="2160" w:hanging="1080"/>
      </w:pPr>
      <w:r w:rsidRPr="002A554E">
        <w:t>4.1.1.3</w:t>
      </w:r>
      <w:r w:rsidRPr="002A554E">
        <w:tab/>
        <w:t xml:space="preserve">Two students not serving in any elected or appointed position within the Association designated by the Vice President of Student Affairs serving as non-voting, </w:t>
      </w:r>
      <w:r w:rsidRPr="002A554E">
        <w:rPr>
          <w:i/>
        </w:rPr>
        <w:t>ex-officio</w:t>
      </w:r>
      <w:r w:rsidRPr="002A554E">
        <w:t xml:space="preserve"> Election Observers;</w:t>
      </w:r>
    </w:p>
    <w:p w:rsidR="00DB7AAF" w:rsidRDefault="00DB7AAF" w:rsidP="004A00A0">
      <w:pPr>
        <w:pBdr>
          <w:bottom w:val="single" w:sz="6" w:space="1" w:color="auto"/>
        </w:pBdr>
      </w:pPr>
    </w:p>
    <w:p w:rsidR="00E01B93" w:rsidRPr="00915B66" w:rsidRDefault="00DB7AAF" w:rsidP="00DB7AAF">
      <w:pPr>
        <w:rPr>
          <w:b/>
        </w:rPr>
      </w:pPr>
      <w:r w:rsidRPr="00915B66">
        <w:rPr>
          <w:b/>
        </w:rPr>
        <w:t>APPROVED:</w:t>
      </w:r>
      <w:r w:rsidRPr="00915B66">
        <w:rPr>
          <w:b/>
        </w:rPr>
        <w:tab/>
      </w:r>
      <w:r w:rsidRPr="00915B66">
        <w:rPr>
          <w:b/>
        </w:rPr>
        <w:tab/>
      </w:r>
      <w:r w:rsidR="00E01B93">
        <w:rPr>
          <w:b/>
        </w:rPr>
        <w:t>6</w:t>
      </w:r>
      <w:r w:rsidR="00E01B93" w:rsidRPr="00E01B93">
        <w:rPr>
          <w:b/>
          <w:vertAlign w:val="superscript"/>
        </w:rPr>
        <w:t>th</w:t>
      </w:r>
      <w:r w:rsidR="00E01B93">
        <w:rPr>
          <w:b/>
        </w:rPr>
        <w:t xml:space="preserve"> Day of December, 2017</w:t>
      </w:r>
      <w:bookmarkStart w:id="0" w:name="_GoBack"/>
      <w:bookmarkEnd w:id="0"/>
    </w:p>
    <w:p w:rsidR="00DB7AAF" w:rsidRPr="00915B66" w:rsidRDefault="00DB7AAF" w:rsidP="00DB7AAF">
      <w:pPr>
        <w:rPr>
          <w:b/>
        </w:rPr>
      </w:pPr>
    </w:p>
    <w:p w:rsidR="00DB7AAF" w:rsidRPr="00915B66" w:rsidRDefault="00DB7AAF" w:rsidP="00DB7AAF">
      <w:pPr>
        <w:rPr>
          <w:b/>
        </w:rPr>
        <w:sectPr w:rsidR="00DB7AAF" w:rsidRPr="00915B66" w:rsidSect="005D51F8">
          <w:headerReference w:type="default" r:id="rId7"/>
          <w:footerReference w:type="default" r:id="rId8"/>
          <w:headerReference w:type="first" r:id="rId9"/>
          <w:footerReference w:type="first" r:id="rId10"/>
          <w:pgSz w:w="12240" w:h="15840"/>
          <w:pgMar w:top="1440" w:right="1800" w:bottom="1440" w:left="1800" w:header="1440" w:footer="1440" w:gutter="0"/>
          <w:lnNumType w:countBy="1" w:restart="continuous"/>
          <w:cols w:space="720"/>
          <w:titlePg/>
          <w:docGrid w:linePitch="360"/>
        </w:sectPr>
      </w:pPr>
    </w:p>
    <w:p w:rsidR="00DB7AAF" w:rsidRPr="00915B66" w:rsidRDefault="00DB7AAF" w:rsidP="00DB7AAF">
      <w:pPr>
        <w:jc w:val="center"/>
        <w:rPr>
          <w:b/>
        </w:rPr>
      </w:pPr>
      <w:r w:rsidRPr="00915B66">
        <w:rPr>
          <w:b/>
        </w:rPr>
        <w:lastRenderedPageBreak/>
        <w:t>___________________________</w:t>
      </w:r>
    </w:p>
    <w:p w:rsidR="00DB7AAF" w:rsidRPr="00915B66" w:rsidRDefault="00915B66" w:rsidP="00DB7AAF">
      <w:pPr>
        <w:jc w:val="center"/>
      </w:pPr>
      <w:r w:rsidRPr="00915B66">
        <w:t>Paige E. Hungate</w:t>
      </w:r>
    </w:p>
    <w:p w:rsidR="00DB7AAF" w:rsidRPr="00915B66" w:rsidRDefault="00DB7AAF" w:rsidP="00DB7AAF">
      <w:pPr>
        <w:jc w:val="center"/>
      </w:pPr>
      <w:r w:rsidRPr="00915B66">
        <w:t>Student Body President</w:t>
      </w:r>
    </w:p>
    <w:p w:rsidR="004E0E7F" w:rsidRDefault="004E0E7F" w:rsidP="004E0E7F">
      <w:pPr>
        <w:jc w:val="center"/>
      </w:pPr>
      <w:r>
        <w:t>________</w:t>
      </w:r>
    </w:p>
    <w:p w:rsidR="00DB7AAF" w:rsidRPr="00915B66" w:rsidRDefault="004E0E7F" w:rsidP="00C47312">
      <w:pPr>
        <w:jc w:val="center"/>
      </w:pPr>
      <w:r>
        <w:t>Date</w:t>
      </w:r>
    </w:p>
    <w:p w:rsidR="00DB7AAF" w:rsidRPr="00915B66" w:rsidRDefault="00DB7AAF" w:rsidP="00DB7AAF">
      <w:pPr>
        <w:jc w:val="center"/>
        <w:rPr>
          <w:b/>
        </w:rPr>
      </w:pPr>
      <w:r w:rsidRPr="00915B66">
        <w:rPr>
          <w:b/>
        </w:rPr>
        <w:t>___________________________</w:t>
      </w:r>
    </w:p>
    <w:p w:rsidR="00DB7AAF" w:rsidRPr="00915B66" w:rsidRDefault="00915B66" w:rsidP="00DB7AAF">
      <w:pPr>
        <w:jc w:val="center"/>
      </w:pPr>
      <w:r w:rsidRPr="00915B66">
        <w:t>Breck Towner</w:t>
      </w:r>
    </w:p>
    <w:p w:rsidR="004E0E7F" w:rsidRDefault="00DB7AAF" w:rsidP="004E0E7F">
      <w:pPr>
        <w:jc w:val="center"/>
      </w:pPr>
      <w:r w:rsidRPr="00915B66">
        <w:t>President of the Senate</w:t>
      </w:r>
    </w:p>
    <w:p w:rsidR="004E0E7F" w:rsidRDefault="004E0E7F" w:rsidP="004E0E7F">
      <w:pPr>
        <w:jc w:val="center"/>
      </w:pPr>
      <w:r>
        <w:t>________</w:t>
      </w:r>
    </w:p>
    <w:p w:rsidR="004E0E7F" w:rsidRPr="00671404" w:rsidRDefault="004E0E7F" w:rsidP="004E0E7F">
      <w:pPr>
        <w:jc w:val="center"/>
      </w:pPr>
      <w:r>
        <w:t>Date</w:t>
      </w:r>
    </w:p>
    <w:p w:rsidR="004E0E7F" w:rsidRPr="00915B66" w:rsidRDefault="004E0E7F" w:rsidP="00DB7AAF">
      <w:pPr>
        <w:jc w:val="center"/>
        <w:sectPr w:rsidR="004E0E7F" w:rsidRPr="00915B66" w:rsidSect="00E01B93">
          <w:type w:val="continuous"/>
          <w:pgSz w:w="12240" w:h="15840"/>
          <w:pgMar w:top="1440" w:right="1800" w:bottom="1440" w:left="1800" w:header="1440" w:footer="720" w:gutter="0"/>
          <w:cols w:num="2" w:space="720"/>
          <w:docGrid w:linePitch="360"/>
        </w:sectPr>
      </w:pPr>
    </w:p>
    <w:p w:rsidR="00DB7AAF" w:rsidRPr="00915B66" w:rsidRDefault="00DB7AAF" w:rsidP="00DB7AAF">
      <w:pPr>
        <w:jc w:val="center"/>
        <w:rPr>
          <w:b/>
        </w:rPr>
      </w:pPr>
      <w:r w:rsidRPr="00915B66">
        <w:rPr>
          <w:b/>
        </w:rPr>
        <w:t>___________________________</w:t>
      </w:r>
    </w:p>
    <w:p w:rsidR="00DB7AAF" w:rsidRPr="00915B66" w:rsidRDefault="00DB7AAF" w:rsidP="00DB7AAF">
      <w:pPr>
        <w:jc w:val="center"/>
      </w:pPr>
      <w:r w:rsidRPr="00915B66">
        <w:t>(VP OF AFFAIRS) on behalf of</w:t>
      </w:r>
    </w:p>
    <w:p w:rsidR="00DB7AAF" w:rsidRPr="00915B66" w:rsidRDefault="00DB7AAF" w:rsidP="00DB7AAF">
      <w:pPr>
        <w:jc w:val="center"/>
      </w:pPr>
      <w:r w:rsidRPr="00915B66">
        <w:t>Dr. John Bardo</w:t>
      </w:r>
    </w:p>
    <w:p w:rsidR="00DB7AAF" w:rsidRPr="00915B66" w:rsidRDefault="00DB7AAF" w:rsidP="00DB7AAF">
      <w:pPr>
        <w:jc w:val="center"/>
      </w:pPr>
      <w:r w:rsidRPr="00915B66">
        <w:t>President of the University</w:t>
      </w:r>
    </w:p>
    <w:p w:rsidR="004E0E7F" w:rsidRDefault="004E0E7F" w:rsidP="004E0E7F">
      <w:pPr>
        <w:jc w:val="center"/>
      </w:pPr>
      <w:r>
        <w:t>________</w:t>
      </w:r>
    </w:p>
    <w:p w:rsidR="004E0E7F" w:rsidRPr="00671404" w:rsidRDefault="004E0E7F" w:rsidP="004E0E7F">
      <w:pPr>
        <w:jc w:val="center"/>
      </w:pPr>
      <w:r>
        <w:t>Date</w:t>
      </w:r>
    </w:p>
    <w:p w:rsidR="000B4AB2" w:rsidRPr="00DB7AAF" w:rsidRDefault="000B4AB2" w:rsidP="004E0E7F">
      <w:pPr>
        <w:jc w:val="center"/>
      </w:pPr>
    </w:p>
    <w:sectPr w:rsidR="000B4AB2" w:rsidRPr="00DB7AAF" w:rsidSect="007C2BBA">
      <w:type w:val="continuous"/>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4C" w:rsidRDefault="00FF1D4C" w:rsidP="00DB7AAF">
      <w:pPr>
        <w:spacing w:after="0" w:line="240" w:lineRule="auto"/>
      </w:pPr>
      <w:r>
        <w:separator/>
      </w:r>
    </w:p>
  </w:endnote>
  <w:endnote w:type="continuationSeparator" w:id="0">
    <w:p w:rsidR="00FF1D4C" w:rsidRDefault="00FF1D4C"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Klavika Bold">
    <w:altName w:val="Franklin Gothic Demi Cond"/>
    <w:panose1 w:val="00000000000000000000"/>
    <w:charset w:val="00"/>
    <w:family w:val="swiss"/>
    <w:notTrueType/>
    <w:pitch w:val="variable"/>
    <w:sig w:usb0="A00002AF"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E01B93">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E01B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4C" w:rsidRDefault="00FF1D4C" w:rsidP="00DB7AAF">
      <w:pPr>
        <w:spacing w:after="0" w:line="240" w:lineRule="auto"/>
      </w:pPr>
      <w:r>
        <w:separator/>
      </w:r>
    </w:p>
  </w:footnote>
  <w:footnote w:type="continuationSeparator" w:id="0">
    <w:p w:rsidR="00FF1D4C" w:rsidRDefault="00FF1D4C" w:rsidP="00DB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Pr="007C2BBA" w:rsidRDefault="00E01B93" w:rsidP="007C2BBA">
    <w:pPr>
      <w:pStyle w:val="Header"/>
      <w:tabs>
        <w:tab w:val="clear" w:pos="4320"/>
        <w:tab w:val="left" w:pos="720"/>
        <w:tab w:val="left" w:pos="1440"/>
        <w:tab w:val="left" w:pos="2160"/>
        <w:tab w:val="left" w:pos="288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7C2BBA">
    <w:pPr>
      <w:pStyle w:val="Heading1"/>
    </w:pPr>
    <w:r>
      <w:t>Wichita State University</w:t>
    </w:r>
  </w:p>
  <w:p w:rsidR="007C2BBA" w:rsidRDefault="00DB7AAF" w:rsidP="007C2BBA">
    <w:pPr>
      <w:pStyle w:val="Heading2"/>
    </w:pPr>
    <w:r>
      <w:t>Student Government Association</w:t>
    </w:r>
  </w:p>
  <w:p w:rsidR="00FF0809" w:rsidRPr="00FF0809" w:rsidRDefault="00915B66" w:rsidP="00FF0809">
    <w:pPr>
      <w:pStyle w:val="Heading2"/>
    </w:pPr>
    <w:r>
      <w:t>60</w:t>
    </w:r>
    <w:r w:rsidR="00DB7AAF" w:rsidRPr="00FF0809">
      <w:rPr>
        <w:vertAlign w:val="superscript"/>
      </w:rPr>
      <w:t>th</w:t>
    </w:r>
    <w:r w:rsidR="00DB7AAF">
      <w:t xml:space="preserve"> Session of the Student Senate</w:t>
    </w:r>
  </w:p>
  <w:p w:rsidR="007C2BBA" w:rsidRDefault="005002E1" w:rsidP="007C2BBA">
    <w:pPr>
      <w:pStyle w:val="Header"/>
      <w:tabs>
        <w:tab w:val="left" w:pos="720"/>
        <w:tab w:val="left" w:pos="1440"/>
        <w:tab w:val="left" w:pos="2160"/>
        <w:tab w:val="left" w:pos="2880"/>
        <w:tab w:val="left" w:pos="3600"/>
        <w:tab w:val="left" w:pos="4320"/>
      </w:tabs>
      <w:spacing w:after="120"/>
      <w:rPr>
        <w:b/>
      </w:rPr>
    </w:pPr>
    <w:r>
      <w:rPr>
        <w:b/>
      </w:rPr>
      <w:t>TITLE:</w:t>
    </w:r>
    <w:r>
      <w:rPr>
        <w:b/>
      </w:rPr>
      <w:tab/>
    </w:r>
    <w:r>
      <w:rPr>
        <w:b/>
      </w:rPr>
      <w:tab/>
    </w:r>
    <w:r w:rsidR="00915B66">
      <w:rPr>
        <w:b/>
      </w:rPr>
      <w:t>SB-60</w:t>
    </w:r>
    <w:r w:rsidR="00DB7AAF">
      <w:rPr>
        <w:b/>
      </w:rPr>
      <w:t>-</w:t>
    </w:r>
    <w:r w:rsidR="009D10D6">
      <w:rPr>
        <w:b/>
      </w:rPr>
      <w:t>101</w:t>
    </w:r>
    <w:r w:rsidR="00DB7AAF">
      <w:rPr>
        <w:b/>
      </w:rPr>
      <w:t xml:space="preserve">: </w:t>
    </w:r>
    <w:r w:rsidR="00FF1D4C">
      <w:rPr>
        <w:b/>
      </w:rPr>
      <w:t>The New Election Reform Act (ERA) (b)</w:t>
    </w:r>
  </w:p>
  <w:p w:rsidR="005002E1" w:rsidRDefault="005002E1" w:rsidP="009D10D6">
    <w:pPr>
      <w:pStyle w:val="Header"/>
      <w:tabs>
        <w:tab w:val="left" w:pos="720"/>
        <w:tab w:val="left" w:pos="1440"/>
        <w:tab w:val="left" w:pos="2160"/>
        <w:tab w:val="left" w:pos="2880"/>
        <w:tab w:val="left" w:pos="3600"/>
        <w:tab w:val="left" w:pos="4320"/>
      </w:tabs>
      <w:spacing w:after="120"/>
    </w:pPr>
    <w:r>
      <w:t>AUTHOR(S):</w:t>
    </w:r>
    <w:r>
      <w:tab/>
    </w:r>
    <w:r>
      <w:tab/>
    </w:r>
    <w:r w:rsidR="009D10D6">
      <w:t>The Association’s Cabinet</w:t>
    </w:r>
  </w:p>
  <w:p w:rsidR="005002E1" w:rsidRDefault="005002E1" w:rsidP="009D10D6">
    <w:pPr>
      <w:pStyle w:val="Header"/>
      <w:tabs>
        <w:tab w:val="left" w:pos="720"/>
        <w:tab w:val="left" w:pos="1440"/>
        <w:tab w:val="left" w:pos="2160"/>
        <w:tab w:val="left" w:pos="2880"/>
        <w:tab w:val="left" w:pos="3600"/>
        <w:tab w:val="left" w:pos="4320"/>
      </w:tabs>
      <w:spacing w:after="120"/>
    </w:pPr>
    <w:r>
      <w:t>SPONSOR(S):</w:t>
    </w:r>
    <w:r>
      <w:tab/>
    </w:r>
    <w:r>
      <w:tab/>
    </w:r>
  </w:p>
  <w:p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9D10D6">
      <w:t>November 29</w:t>
    </w:r>
    <w:r w:rsidR="009D10D6" w:rsidRPr="009D10D6">
      <w:rPr>
        <w:vertAlign w:val="superscript"/>
      </w:rPr>
      <w:t>th</w:t>
    </w:r>
    <w:r w:rsidR="009D10D6">
      <w:t>, 2017</w:t>
    </w:r>
  </w:p>
  <w:p w:rsidR="002B3FF8" w:rsidRPr="007C2BBA" w:rsidRDefault="00DB7AAF" w:rsidP="002B3FF8">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r>
    <w:r w:rsidR="00E01B93">
      <w:t>December 6</w:t>
    </w:r>
    <w:r w:rsidR="00E01B93" w:rsidRPr="00E01B93">
      <w:rPr>
        <w:vertAlign w:val="superscript"/>
      </w:rPr>
      <w:t>th</w:t>
    </w:r>
    <w:r w:rsidR="009D10D6">
      <w:t>, 2017</w:t>
    </w:r>
    <w:r w:rsidR="005002E1">
      <w:t xml:space="preserve"> </w:t>
    </w:r>
    <w:r>
      <w:t>(Expected)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F7EE7"/>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4C"/>
    <w:rsid w:val="000B4AB2"/>
    <w:rsid w:val="002A554E"/>
    <w:rsid w:val="00375978"/>
    <w:rsid w:val="003C663D"/>
    <w:rsid w:val="004A00A0"/>
    <w:rsid w:val="004E0E7F"/>
    <w:rsid w:val="005002E1"/>
    <w:rsid w:val="005D51F8"/>
    <w:rsid w:val="005F4058"/>
    <w:rsid w:val="00915B66"/>
    <w:rsid w:val="009D10D6"/>
    <w:rsid w:val="009F7179"/>
    <w:rsid w:val="00BC133F"/>
    <w:rsid w:val="00BF4C78"/>
    <w:rsid w:val="00C47312"/>
    <w:rsid w:val="00DB7AAF"/>
    <w:rsid w:val="00E01B93"/>
    <w:rsid w:val="00FF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CC07"/>
  <w15:docId w15:val="{A9402E93-0636-4342-BBFF-8D9B0EB2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5D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Chief of Operations</dc:creator>
  <cp:lastModifiedBy>SGA Chief of Operations</cp:lastModifiedBy>
  <cp:revision>4</cp:revision>
  <dcterms:created xsi:type="dcterms:W3CDTF">2017-11-08T18:19:00Z</dcterms:created>
  <dcterms:modified xsi:type="dcterms:W3CDTF">2017-11-27T22:59:00Z</dcterms:modified>
</cp:coreProperties>
</file>